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9CA" w:rsidRPr="00500C4E" w:rsidRDefault="00E6385A" w:rsidP="000E19CA">
      <w:pPr>
        <w:pStyle w:val="WPnumber"/>
      </w:pPr>
      <w:bookmarkStart w:id="0" w:name="_Toc153189647"/>
      <w:bookmarkStart w:id="1" w:name="_GoBack"/>
      <w:bookmarkEnd w:id="1"/>
      <w:r>
        <w:t xml:space="preserve">Short Form </w:t>
      </w:r>
      <w:r w:rsidR="00F117C6" w:rsidRPr="00500C4E">
        <w:t>Work Paper</w:t>
      </w:r>
      <w:r>
        <w:t xml:space="preserve"> </w:t>
      </w:r>
      <w:r w:rsidR="00C14DCC">
        <w:t>WPSDG</w:t>
      </w:r>
      <w:r w:rsidR="00486A75">
        <w:t>EREWH</w:t>
      </w:r>
      <w:r w:rsidR="005E4C0C">
        <w:t>1061A</w:t>
      </w:r>
    </w:p>
    <w:p w:rsidR="00E6385A" w:rsidRDefault="00E6385A" w:rsidP="00F117C6">
      <w:pPr>
        <w:pStyle w:val="WPnumber"/>
        <w:rPr>
          <w:rStyle w:val="CaptionChar"/>
          <w:b/>
          <w:bCs w:val="0"/>
        </w:rPr>
      </w:pPr>
      <w:r>
        <w:tab/>
      </w:r>
      <w:r w:rsidR="000E19CA">
        <w:rPr>
          <w:rStyle w:val="CaptionChar"/>
          <w:b/>
          <w:bCs w:val="0"/>
        </w:rPr>
        <w:t xml:space="preserve">Revision </w:t>
      </w:r>
      <w:r w:rsidR="00873F4D">
        <w:rPr>
          <w:rStyle w:val="CaptionChar"/>
          <w:b/>
          <w:bCs w:val="0"/>
        </w:rPr>
        <w:t>5</w:t>
      </w:r>
    </w:p>
    <w:p w:rsidR="00873F4D" w:rsidRPr="00500C4E" w:rsidRDefault="00873F4D" w:rsidP="00F117C6">
      <w:pPr>
        <w:pStyle w:val="WPnumber"/>
      </w:pPr>
    </w:p>
    <w:bookmarkEnd w:id="0"/>
    <w:p w:rsidR="00F117C6" w:rsidRPr="00500C4E" w:rsidRDefault="00F117C6" w:rsidP="00F117C6">
      <w:pPr>
        <w:jc w:val="right"/>
        <w:rPr>
          <w:rFonts w:cstheme="minorHAnsi"/>
          <w:b/>
          <w:sz w:val="48"/>
          <w:szCs w:val="48"/>
        </w:rPr>
      </w:pPr>
    </w:p>
    <w:p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rsidR="00E6385A" w:rsidRPr="00E6385A" w:rsidRDefault="00E6385A" w:rsidP="00E6385A">
      <w:pPr>
        <w:rPr>
          <w:rFonts w:cstheme="minorHAnsi"/>
          <w:b/>
          <w:sz w:val="32"/>
        </w:rPr>
      </w:pPr>
      <w:r w:rsidRPr="00E6385A">
        <w:rPr>
          <w:rFonts w:cstheme="minorHAnsi"/>
          <w:b/>
          <w:sz w:val="32"/>
        </w:rPr>
        <w:t>Energy Efficiency Engineering</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486A75" w:rsidRDefault="00486A75" w:rsidP="00486A75">
      <w:pPr>
        <w:rPr>
          <w:rFonts w:cstheme="minorHAnsi"/>
          <w:i/>
          <w:szCs w:val="22"/>
        </w:rPr>
      </w:pPr>
      <w:r>
        <w:rPr>
          <w:rFonts w:cstheme="minorHAnsi"/>
          <w:b/>
          <w:sz w:val="72"/>
          <w:szCs w:val="72"/>
        </w:rPr>
        <w:t>Low Flow Showerhead</w:t>
      </w: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E372B8" w:rsidP="000E19CA">
      <w:pPr>
        <w:jc w:val="right"/>
        <w:rPr>
          <w:rFonts w:cstheme="minorHAnsi"/>
          <w:b/>
          <w:sz w:val="28"/>
          <w:szCs w:val="28"/>
        </w:rPr>
      </w:pPr>
    </w:p>
    <w:p w:rsidR="00E372B8" w:rsidRDefault="00AB5449" w:rsidP="00241A1F">
      <w:pPr>
        <w:jc w:val="right"/>
        <w:rPr>
          <w:rFonts w:cstheme="minorHAnsi"/>
          <w:b/>
          <w:sz w:val="28"/>
          <w:szCs w:val="28"/>
        </w:rPr>
      </w:pPr>
      <w:r>
        <w:rPr>
          <w:rFonts w:cstheme="minorHAnsi"/>
          <w:b/>
          <w:sz w:val="28"/>
          <w:szCs w:val="28"/>
        </w:rPr>
        <w:t xml:space="preserve">November </w:t>
      </w:r>
      <w:r w:rsidR="006A1F36">
        <w:rPr>
          <w:rFonts w:cstheme="minorHAnsi"/>
          <w:b/>
          <w:sz w:val="28"/>
          <w:szCs w:val="28"/>
        </w:rPr>
        <w:t>28</w:t>
      </w:r>
      <w:r w:rsidR="007D5DDC">
        <w:rPr>
          <w:rFonts w:cstheme="minorHAnsi"/>
          <w:b/>
          <w:sz w:val="28"/>
          <w:szCs w:val="28"/>
        </w:rPr>
        <w:t xml:space="preserve">, </w:t>
      </w:r>
      <w:r w:rsidR="00C75814">
        <w:rPr>
          <w:rFonts w:cstheme="minorHAnsi"/>
          <w:b/>
          <w:sz w:val="28"/>
          <w:szCs w:val="28"/>
        </w:rPr>
        <w:t>2017</w:t>
      </w:r>
    </w:p>
    <w:p w:rsidR="00E372B8" w:rsidRPr="000F72EF" w:rsidRDefault="00E372B8" w:rsidP="00241A1F">
      <w:pPr>
        <w:jc w:val="right"/>
        <w:rPr>
          <w:rFonts w:cstheme="minorHAnsi"/>
          <w:b/>
          <w:sz w:val="72"/>
          <w:szCs w:val="72"/>
        </w:rPr>
        <w:sectPr w:rsidR="00E372B8" w:rsidRPr="000F72EF" w:rsidSect="00241A1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pPr>
    </w:p>
    <w:p w:rsidR="00486A75" w:rsidRPr="00486A75" w:rsidRDefault="00486A75" w:rsidP="00486A75">
      <w:pPr>
        <w:rPr>
          <w:rFonts w:cstheme="minorHAnsi"/>
          <w:i/>
          <w:sz w:val="36"/>
          <w:szCs w:val="36"/>
        </w:rPr>
      </w:pPr>
      <w:r w:rsidRPr="00486A75">
        <w:rPr>
          <w:rFonts w:cstheme="minorHAnsi"/>
          <w:b/>
          <w:sz w:val="36"/>
          <w:szCs w:val="36"/>
        </w:rPr>
        <w:lastRenderedPageBreak/>
        <w:t>SDG&amp;E Low Flow Showerhead</w:t>
      </w:r>
    </w:p>
    <w:p w:rsidR="00413EF4" w:rsidRDefault="00413EF4" w:rsidP="00413EF4">
      <w:pPr>
        <w:pStyle w:val="Heading2"/>
      </w:pPr>
      <w:r>
        <w:t>Introduction</w:t>
      </w:r>
    </w:p>
    <w:p w:rsidR="00B94F6F" w:rsidRPr="00804C1C" w:rsidRDefault="00C64A59" w:rsidP="00486A75">
      <w:pPr>
        <w:rPr>
          <w:sz w:val="20"/>
          <w:szCs w:val="20"/>
        </w:rPr>
      </w:pPr>
      <w:r>
        <w:rPr>
          <w:sz w:val="20"/>
          <w:szCs w:val="20"/>
        </w:rPr>
        <w:t>This short form workpaper</w:t>
      </w:r>
      <w:r w:rsidR="00486A75" w:rsidRPr="00804C1C">
        <w:rPr>
          <w:sz w:val="20"/>
          <w:szCs w:val="20"/>
        </w:rPr>
        <w:t xml:space="preserve"> documents </w:t>
      </w:r>
      <w:r>
        <w:rPr>
          <w:sz w:val="20"/>
          <w:szCs w:val="20"/>
        </w:rPr>
        <w:t>the values adopted from SCE’s workpaper</w:t>
      </w:r>
      <w:r w:rsidR="00486A75" w:rsidRPr="00804C1C">
        <w:rPr>
          <w:sz w:val="20"/>
          <w:szCs w:val="20"/>
        </w:rPr>
        <w:t xml:space="preserve"> entitled “Faucet Aerator and Low Flow Showerhead” (SCE17WP004.0 Faucet Aerator and Low Flow Showerhead_Final.docx).  SDG&amp;E adopts all the values in SCE17WP004.0 Faucet Aerator and Low Flow Showerhead, with </w:t>
      </w:r>
      <w:r w:rsidR="00B94F6F" w:rsidRPr="00804C1C">
        <w:rPr>
          <w:sz w:val="20"/>
          <w:szCs w:val="20"/>
        </w:rPr>
        <w:t>the following exceptions:</w:t>
      </w:r>
    </w:p>
    <w:p w:rsidR="00B94F6F" w:rsidRPr="005E4C0C" w:rsidRDefault="00B94F6F" w:rsidP="00B94F6F">
      <w:pPr>
        <w:pStyle w:val="ListParagraph"/>
        <w:numPr>
          <w:ilvl w:val="0"/>
          <w:numId w:val="24"/>
        </w:numPr>
        <w:rPr>
          <w:sz w:val="20"/>
          <w:szCs w:val="20"/>
        </w:rPr>
      </w:pPr>
      <w:r w:rsidRPr="00804C1C">
        <w:rPr>
          <w:sz w:val="20"/>
          <w:szCs w:val="20"/>
        </w:rPr>
        <w:t>The</w:t>
      </w:r>
      <w:r w:rsidR="00CA35A2" w:rsidRPr="00804C1C">
        <w:rPr>
          <w:sz w:val="20"/>
          <w:szCs w:val="20"/>
        </w:rPr>
        <w:t xml:space="preserve"> SCE workpaper values were adjusted for SDG&amp;E territory. Since SDG&amp;E provides gas and electric the savings use the savings defined as “both” in the </w:t>
      </w:r>
      <w:r w:rsidR="00CA35A2" w:rsidRPr="00804C1C">
        <w:rPr>
          <w:rFonts w:cstheme="minorHAnsi"/>
          <w:sz w:val="20"/>
          <w:szCs w:val="20"/>
        </w:rPr>
        <w:t>Energy Division disposition</w:t>
      </w:r>
    </w:p>
    <w:p w:rsidR="005E4C0C" w:rsidRPr="00804C1C" w:rsidRDefault="005E4C0C" w:rsidP="005E4C0C">
      <w:pPr>
        <w:pStyle w:val="ListParagraph"/>
        <w:numPr>
          <w:ilvl w:val="0"/>
          <w:numId w:val="24"/>
        </w:numPr>
        <w:rPr>
          <w:sz w:val="20"/>
          <w:szCs w:val="20"/>
        </w:rPr>
      </w:pPr>
      <w:r>
        <w:rPr>
          <w:rFonts w:cstheme="minorHAnsi"/>
          <w:sz w:val="20"/>
          <w:szCs w:val="20"/>
        </w:rPr>
        <w:t xml:space="preserve">Faucet </w:t>
      </w:r>
      <w:r w:rsidR="00F021A4">
        <w:rPr>
          <w:rFonts w:cstheme="minorHAnsi"/>
          <w:sz w:val="20"/>
          <w:szCs w:val="20"/>
        </w:rPr>
        <w:t>aerators</w:t>
      </w:r>
      <w:r>
        <w:rPr>
          <w:rFonts w:cstheme="minorHAnsi"/>
          <w:sz w:val="20"/>
          <w:szCs w:val="20"/>
        </w:rPr>
        <w:t xml:space="preserve"> are covered in a separate workpaper (</w:t>
      </w:r>
      <w:r>
        <w:rPr>
          <w:sz w:val="20"/>
          <w:szCs w:val="20"/>
        </w:rPr>
        <w:t>WPSDGEREWH1012, Rev 2).</w:t>
      </w:r>
    </w:p>
    <w:p w:rsidR="005E4C0C" w:rsidRPr="00804C1C" w:rsidRDefault="005E4C0C" w:rsidP="005E4C0C">
      <w:pPr>
        <w:pStyle w:val="ListParagraph"/>
        <w:rPr>
          <w:sz w:val="20"/>
          <w:szCs w:val="20"/>
        </w:rPr>
      </w:pPr>
    </w:p>
    <w:p w:rsidR="00B94F6F" w:rsidRPr="00804C1C" w:rsidRDefault="00B94F6F" w:rsidP="00486A75">
      <w:pPr>
        <w:rPr>
          <w:sz w:val="20"/>
          <w:szCs w:val="20"/>
        </w:rPr>
      </w:pPr>
    </w:p>
    <w:p w:rsidR="00486A75" w:rsidRDefault="00486A75" w:rsidP="00486A75">
      <w:pPr>
        <w:jc w:val="both"/>
      </w:pPr>
    </w:p>
    <w:p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66"/>
        <w:gridCol w:w="1754"/>
        <w:gridCol w:w="5806"/>
      </w:tblGrid>
      <w:tr w:rsidR="00B57F32" w:rsidRPr="00500C4E" w:rsidTr="00C131CB">
        <w:trPr>
          <w:trHeight w:val="20"/>
        </w:trPr>
        <w:tc>
          <w:tcPr>
            <w:tcW w:w="280" w:type="pct"/>
            <w:shd w:val="clear" w:color="auto" w:fill="D9D9D9" w:themeFill="background1" w:themeFillShade="D9"/>
          </w:tcPr>
          <w:p w:rsidR="00B57F32" w:rsidRPr="000E2B6B" w:rsidRDefault="00B57F32" w:rsidP="00B94F6F">
            <w:pPr>
              <w:rPr>
                <w:rStyle w:val="Strong"/>
                <w:bCs w:val="0"/>
              </w:rPr>
            </w:pPr>
            <w:r w:rsidRPr="000E2B6B">
              <w:rPr>
                <w:rStyle w:val="Strong"/>
              </w:rPr>
              <w:t>Rev</w:t>
            </w:r>
          </w:p>
        </w:tc>
        <w:tc>
          <w:tcPr>
            <w:tcW w:w="677" w:type="pct"/>
            <w:shd w:val="clear" w:color="auto" w:fill="D9D9D9" w:themeFill="background1" w:themeFillShade="D9"/>
          </w:tcPr>
          <w:p w:rsidR="00B57F32" w:rsidRPr="000E2B6B" w:rsidRDefault="00B57F32" w:rsidP="00B94F6F">
            <w:pPr>
              <w:rPr>
                <w:rStyle w:val="Strong"/>
                <w:bCs w:val="0"/>
              </w:rPr>
            </w:pPr>
            <w:r w:rsidRPr="000E2B6B">
              <w:rPr>
                <w:rStyle w:val="Strong"/>
              </w:rPr>
              <w:t>Date</w:t>
            </w:r>
          </w:p>
        </w:tc>
        <w:tc>
          <w:tcPr>
            <w:tcW w:w="938" w:type="pct"/>
            <w:shd w:val="clear" w:color="auto" w:fill="D9D9D9" w:themeFill="background1" w:themeFillShade="D9"/>
          </w:tcPr>
          <w:p w:rsidR="00B57F32" w:rsidRPr="000E2B6B" w:rsidRDefault="00B57F32" w:rsidP="00B94F6F">
            <w:pPr>
              <w:rPr>
                <w:rStyle w:val="Strong"/>
                <w:bCs w:val="0"/>
              </w:rPr>
            </w:pPr>
            <w:r w:rsidRPr="000E2B6B">
              <w:rPr>
                <w:rStyle w:val="Strong"/>
              </w:rPr>
              <w:t>Author</w:t>
            </w:r>
          </w:p>
        </w:tc>
        <w:tc>
          <w:tcPr>
            <w:tcW w:w="3105" w:type="pct"/>
            <w:shd w:val="clear" w:color="auto" w:fill="D9D9D9" w:themeFill="background1" w:themeFillShade="D9"/>
          </w:tcPr>
          <w:p w:rsidR="00B57F32" w:rsidRPr="000E2B6B" w:rsidRDefault="00B57F32" w:rsidP="00B94F6F">
            <w:pPr>
              <w:rPr>
                <w:rStyle w:val="Strong"/>
                <w:bCs w:val="0"/>
              </w:rPr>
            </w:pPr>
            <w:r w:rsidRPr="000E2B6B">
              <w:rPr>
                <w:rStyle w:val="Strong"/>
              </w:rPr>
              <w:t>Summary of Changes</w:t>
            </w:r>
          </w:p>
        </w:tc>
      </w:tr>
      <w:tr w:rsidR="00884B9C" w:rsidRPr="00500C4E" w:rsidTr="00C131CB">
        <w:trPr>
          <w:trHeight w:val="20"/>
        </w:trPr>
        <w:tc>
          <w:tcPr>
            <w:tcW w:w="280" w:type="pct"/>
          </w:tcPr>
          <w:p w:rsidR="00884B9C" w:rsidRPr="000E2B6B" w:rsidRDefault="005E4C0C">
            <w:pPr>
              <w:jc w:val="center"/>
              <w:rPr>
                <w:rFonts w:cstheme="minorHAnsi"/>
                <w:szCs w:val="20"/>
              </w:rPr>
            </w:pPr>
            <w:r>
              <w:t>5</w:t>
            </w:r>
          </w:p>
        </w:tc>
        <w:tc>
          <w:tcPr>
            <w:tcW w:w="677" w:type="pct"/>
          </w:tcPr>
          <w:p w:rsidR="00884B9C" w:rsidRPr="000E2B6B" w:rsidRDefault="005E4C0C" w:rsidP="00B94F6F">
            <w:pPr>
              <w:jc w:val="center"/>
              <w:rPr>
                <w:rFonts w:cstheme="minorHAnsi"/>
                <w:szCs w:val="20"/>
              </w:rPr>
            </w:pPr>
            <w:r>
              <w:rPr>
                <w:szCs w:val="20"/>
              </w:rPr>
              <w:t>11/28</w:t>
            </w:r>
            <w:r w:rsidR="003E035B">
              <w:rPr>
                <w:szCs w:val="20"/>
              </w:rPr>
              <w:t>/17</w:t>
            </w:r>
          </w:p>
        </w:tc>
        <w:tc>
          <w:tcPr>
            <w:tcW w:w="938" w:type="pct"/>
          </w:tcPr>
          <w:p w:rsidR="00884B9C" w:rsidRPr="000E2B6B" w:rsidRDefault="005248E2" w:rsidP="00B94F6F">
            <w:pPr>
              <w:rPr>
                <w:rFonts w:cstheme="minorHAnsi"/>
                <w:szCs w:val="20"/>
              </w:rPr>
            </w:pPr>
            <w:r>
              <w:rPr>
                <w:rFonts w:cstheme="minorHAnsi"/>
                <w:szCs w:val="20"/>
              </w:rPr>
              <w:t xml:space="preserve">Keith </w:t>
            </w:r>
            <w:r w:rsidR="003E035B">
              <w:rPr>
                <w:rFonts w:cstheme="minorHAnsi"/>
                <w:szCs w:val="20"/>
              </w:rPr>
              <w:t>Valenzuela/SDGE</w:t>
            </w:r>
            <w:r>
              <w:rPr>
                <w:rFonts w:cstheme="minorHAnsi"/>
                <w:szCs w:val="20"/>
              </w:rPr>
              <w:t xml:space="preserve"> Contractor </w:t>
            </w:r>
          </w:p>
        </w:tc>
        <w:tc>
          <w:tcPr>
            <w:tcW w:w="3105" w:type="pct"/>
          </w:tcPr>
          <w:p w:rsidR="00C131CB" w:rsidRPr="00486A75" w:rsidRDefault="00985CB7" w:rsidP="00C131CB">
            <w:pPr>
              <w:numPr>
                <w:ilvl w:val="0"/>
                <w:numId w:val="17"/>
              </w:numPr>
              <w:rPr>
                <w:bCs/>
                <w:szCs w:val="20"/>
              </w:rPr>
            </w:pPr>
            <w:r>
              <w:rPr>
                <w:bCs/>
                <w:szCs w:val="20"/>
              </w:rPr>
              <w:t>Ado</w:t>
            </w:r>
            <w:r w:rsidR="003E035B">
              <w:rPr>
                <w:bCs/>
                <w:szCs w:val="20"/>
              </w:rPr>
              <w:t xml:space="preserve">pted </w:t>
            </w:r>
            <w:r w:rsidR="00486A75">
              <w:t xml:space="preserve">SCE workpaper </w:t>
            </w:r>
            <w:r w:rsidR="00486A75" w:rsidRPr="00486A75">
              <w:t>SCE17WP004.0 Faucet Aerator and Low Flow Showerhead</w:t>
            </w:r>
          </w:p>
          <w:p w:rsidR="003E035B" w:rsidRPr="005734A4" w:rsidRDefault="003E035B" w:rsidP="005E4C0C">
            <w:pPr>
              <w:ind w:left="360"/>
              <w:rPr>
                <w:rFonts w:cstheme="minorHAnsi"/>
                <w:szCs w:val="20"/>
              </w:rPr>
            </w:pPr>
          </w:p>
        </w:tc>
      </w:tr>
      <w:tr w:rsidR="00884B9C" w:rsidRPr="00500C4E" w:rsidTr="00C131CB">
        <w:trPr>
          <w:trHeight w:val="20"/>
        </w:trPr>
        <w:tc>
          <w:tcPr>
            <w:tcW w:w="280" w:type="pct"/>
          </w:tcPr>
          <w:p w:rsidR="00884B9C" w:rsidRPr="000E2B6B" w:rsidRDefault="00884B9C">
            <w:pPr>
              <w:jc w:val="center"/>
              <w:rPr>
                <w:rStyle w:val="Strong"/>
                <w:b w:val="0"/>
              </w:rPr>
            </w:pPr>
          </w:p>
        </w:tc>
        <w:tc>
          <w:tcPr>
            <w:tcW w:w="677" w:type="pct"/>
          </w:tcPr>
          <w:p w:rsidR="00884B9C" w:rsidRPr="000E2B6B" w:rsidRDefault="00884B9C" w:rsidP="00B94F6F">
            <w:pPr>
              <w:jc w:val="center"/>
              <w:rPr>
                <w:rStyle w:val="Strong"/>
                <w:b w:val="0"/>
              </w:rPr>
            </w:pPr>
          </w:p>
        </w:tc>
        <w:tc>
          <w:tcPr>
            <w:tcW w:w="938" w:type="pct"/>
          </w:tcPr>
          <w:p w:rsidR="00884B9C" w:rsidRPr="000E2B6B" w:rsidRDefault="00884B9C" w:rsidP="00B94F6F">
            <w:pPr>
              <w:rPr>
                <w:rStyle w:val="Strong"/>
                <w:b w:val="0"/>
              </w:rPr>
            </w:pPr>
          </w:p>
        </w:tc>
        <w:tc>
          <w:tcPr>
            <w:tcW w:w="3105" w:type="pct"/>
          </w:tcPr>
          <w:p w:rsidR="00762D81" w:rsidRPr="00762D81" w:rsidRDefault="00762D81" w:rsidP="00762D81">
            <w:pPr>
              <w:rPr>
                <w:rStyle w:val="Strong"/>
                <w:b w:val="0"/>
                <w:szCs w:val="20"/>
              </w:rPr>
            </w:pPr>
          </w:p>
        </w:tc>
      </w:tr>
      <w:tr w:rsidR="00DB544A" w:rsidRPr="00500C4E" w:rsidTr="00C131CB">
        <w:trPr>
          <w:trHeight w:val="20"/>
        </w:trPr>
        <w:tc>
          <w:tcPr>
            <w:tcW w:w="280" w:type="pct"/>
          </w:tcPr>
          <w:p w:rsidR="00DB544A" w:rsidRPr="00F2079F" w:rsidRDefault="00DB544A" w:rsidP="008C2C8A">
            <w:pPr>
              <w:jc w:val="center"/>
            </w:pPr>
          </w:p>
        </w:tc>
        <w:tc>
          <w:tcPr>
            <w:tcW w:w="677" w:type="pct"/>
          </w:tcPr>
          <w:p w:rsidR="00DB544A" w:rsidRDefault="00DB544A" w:rsidP="00B94F6F">
            <w:pPr>
              <w:jc w:val="center"/>
              <w:rPr>
                <w:szCs w:val="20"/>
              </w:rPr>
            </w:pPr>
          </w:p>
        </w:tc>
        <w:tc>
          <w:tcPr>
            <w:tcW w:w="938" w:type="pct"/>
          </w:tcPr>
          <w:p w:rsidR="00DB544A" w:rsidRDefault="00DB544A" w:rsidP="00B94F6F">
            <w:pPr>
              <w:rPr>
                <w:szCs w:val="20"/>
              </w:rPr>
            </w:pPr>
          </w:p>
        </w:tc>
        <w:tc>
          <w:tcPr>
            <w:tcW w:w="3105" w:type="pct"/>
          </w:tcPr>
          <w:p w:rsidR="00762D81" w:rsidRPr="006A478E" w:rsidRDefault="00762D81" w:rsidP="00C131CB">
            <w:pPr>
              <w:rPr>
                <w:bCs/>
                <w:szCs w:val="20"/>
              </w:rPr>
            </w:pPr>
          </w:p>
        </w:tc>
      </w:tr>
    </w:tbl>
    <w:p w:rsidR="00DB71F1" w:rsidRDefault="00DB71F1" w:rsidP="00413EF4"/>
    <w:p w:rsidR="00DB71F1" w:rsidRDefault="00DB71F1">
      <w:pPr>
        <w:spacing w:after="200" w:line="276" w:lineRule="auto"/>
      </w:pPr>
      <w:r>
        <w:br w:type="page"/>
      </w:r>
    </w:p>
    <w:p w:rsidR="00DB71F1" w:rsidRDefault="00DB71F1" w:rsidP="00DB71F1">
      <w:pPr>
        <w:pStyle w:val="Heading2"/>
      </w:pPr>
      <w:r>
        <w:lastRenderedPageBreak/>
        <w:t>Measure Summary</w:t>
      </w:r>
      <w:r w:rsidRPr="0025216C">
        <w:t xml:space="preserve"> </w:t>
      </w:r>
    </w:p>
    <w:p w:rsidR="00EE6CFE" w:rsidRPr="00EE6CFE" w:rsidRDefault="00EE6CFE" w:rsidP="0081521B"/>
    <w:p w:rsidR="00DB71F1" w:rsidRDefault="00DB71F1" w:rsidP="00DB71F1">
      <w:pPr>
        <w:pStyle w:val="Caption"/>
        <w:keepNext/>
        <w:jc w:val="center"/>
      </w:pPr>
      <w:r>
        <w:t xml:space="preserve">Table </w:t>
      </w:r>
      <w:fldSimple w:instr=" SEQ Table \* ARABIC ">
        <w:r w:rsidR="00C6110B">
          <w:rPr>
            <w:noProof/>
          </w:rPr>
          <w:t>1</w:t>
        </w:r>
      </w:fldSimple>
      <w:r>
        <w:t>: Measure Summary Table</w:t>
      </w:r>
    </w:p>
    <w:tbl>
      <w:tblPr>
        <w:tblStyle w:val="TableGrid"/>
        <w:tblW w:w="0" w:type="auto"/>
        <w:tblLayout w:type="fixed"/>
        <w:tblLook w:val="04A0" w:firstRow="1" w:lastRow="0" w:firstColumn="1" w:lastColumn="0" w:noHBand="0" w:noVBand="1"/>
      </w:tblPr>
      <w:tblGrid>
        <w:gridCol w:w="1975"/>
        <w:gridCol w:w="7375"/>
      </w:tblGrid>
      <w:tr w:rsidR="00DB71F1" w:rsidTr="00F52060">
        <w:trPr>
          <w:cantSplit/>
          <w:tblHeader/>
        </w:trPr>
        <w:tc>
          <w:tcPr>
            <w:tcW w:w="1975" w:type="dxa"/>
          </w:tcPr>
          <w:p w:rsidR="00DB71F1" w:rsidRPr="00D86243" w:rsidRDefault="00DB71F1" w:rsidP="00B94F6F">
            <w:pPr>
              <w:jc w:val="center"/>
              <w:rPr>
                <w:b/>
              </w:rPr>
            </w:pPr>
            <w:r w:rsidRPr="00D86243">
              <w:rPr>
                <w:b/>
              </w:rPr>
              <w:t>Section</w:t>
            </w:r>
          </w:p>
        </w:tc>
        <w:tc>
          <w:tcPr>
            <w:tcW w:w="7375" w:type="dxa"/>
          </w:tcPr>
          <w:p w:rsidR="00DB71F1" w:rsidRPr="00D86243" w:rsidRDefault="00DB71F1" w:rsidP="00B94F6F">
            <w:pPr>
              <w:jc w:val="center"/>
              <w:rPr>
                <w:b/>
              </w:rPr>
            </w:pPr>
            <w:r w:rsidRPr="00D86243">
              <w:rPr>
                <w:b/>
              </w:rPr>
              <w:t>Value</w:t>
            </w:r>
          </w:p>
        </w:tc>
      </w:tr>
      <w:tr w:rsidR="00DB71F1" w:rsidTr="00F52060">
        <w:trPr>
          <w:cantSplit/>
        </w:trPr>
        <w:tc>
          <w:tcPr>
            <w:tcW w:w="1975" w:type="dxa"/>
            <w:vAlign w:val="center"/>
          </w:tcPr>
          <w:p w:rsidR="00DB71F1" w:rsidRPr="001D77F7" w:rsidRDefault="00DB71F1" w:rsidP="00B94F6F">
            <w:pPr>
              <w:rPr>
                <w:b/>
              </w:rPr>
            </w:pPr>
            <w:r>
              <w:rPr>
                <w:b/>
              </w:rPr>
              <w:t>Summary &amp; Purpose</w:t>
            </w:r>
          </w:p>
        </w:tc>
        <w:tc>
          <w:tcPr>
            <w:tcW w:w="7375" w:type="dxa"/>
          </w:tcPr>
          <w:p w:rsidR="00486A75" w:rsidRDefault="00486A75" w:rsidP="00486A75">
            <w:pPr>
              <w:jc w:val="both"/>
              <w:rPr>
                <w:rFonts w:cs="Arial"/>
                <w:sz w:val="20"/>
                <w:szCs w:val="20"/>
              </w:rPr>
            </w:pPr>
            <w:r w:rsidRPr="001519FD">
              <w:rPr>
                <w:rFonts w:cs="Arial"/>
                <w:sz w:val="20"/>
                <w:szCs w:val="20"/>
              </w:rPr>
              <w:t>This short form workpaper documents ex-ante load impacts an</w:t>
            </w:r>
            <w:r w:rsidR="00F021A4">
              <w:rPr>
                <w:rFonts w:cs="Arial"/>
                <w:sz w:val="20"/>
                <w:szCs w:val="20"/>
              </w:rPr>
              <w:t xml:space="preserve">d cost-effectiveness values for </w:t>
            </w:r>
            <w:r w:rsidR="001519FD" w:rsidRPr="001519FD">
              <w:rPr>
                <w:sz w:val="20"/>
                <w:szCs w:val="20"/>
              </w:rPr>
              <w:t>Low Flow Showerhead</w:t>
            </w:r>
            <w:r w:rsidR="00F021A4">
              <w:rPr>
                <w:sz w:val="20"/>
                <w:szCs w:val="20"/>
              </w:rPr>
              <w:t xml:space="preserve"> measures</w:t>
            </w:r>
            <w:r w:rsidRPr="001519FD">
              <w:rPr>
                <w:rFonts w:cs="Arial"/>
                <w:sz w:val="20"/>
                <w:szCs w:val="20"/>
              </w:rPr>
              <w:t>.</w:t>
            </w:r>
            <w:r w:rsidRPr="00241A1F">
              <w:rPr>
                <w:rFonts w:cs="Arial"/>
                <w:sz w:val="20"/>
                <w:szCs w:val="20"/>
              </w:rPr>
              <w:t xml:space="preserve"> </w:t>
            </w:r>
            <w:r>
              <w:rPr>
                <w:rFonts w:cs="Arial"/>
                <w:sz w:val="20"/>
                <w:szCs w:val="20"/>
              </w:rPr>
              <w:t>The base energy consumption and measure energy consumption</w:t>
            </w:r>
            <w:r w:rsidRPr="00555671">
              <w:rPr>
                <w:rFonts w:cs="Arial"/>
                <w:sz w:val="20"/>
                <w:szCs w:val="20"/>
              </w:rPr>
              <w:t xml:space="preserve"> values</w:t>
            </w:r>
            <w:r>
              <w:rPr>
                <w:rFonts w:cs="Arial"/>
                <w:sz w:val="20"/>
                <w:szCs w:val="20"/>
              </w:rPr>
              <w:t xml:space="preserve"> are from SCE’s workpaper</w:t>
            </w:r>
            <w:r w:rsidR="001519FD">
              <w:rPr>
                <w:rFonts w:cs="Arial"/>
                <w:sz w:val="20"/>
                <w:szCs w:val="20"/>
              </w:rPr>
              <w:t>, SCE17WP004</w:t>
            </w:r>
            <w:r>
              <w:rPr>
                <w:rFonts w:cs="Arial"/>
                <w:sz w:val="20"/>
                <w:szCs w:val="20"/>
              </w:rPr>
              <w:t>, Revision 0.</w:t>
            </w:r>
          </w:p>
          <w:p w:rsidR="00486A75" w:rsidRDefault="00486A75" w:rsidP="00486A75">
            <w:pPr>
              <w:jc w:val="both"/>
              <w:rPr>
                <w:rFonts w:cs="Arial"/>
                <w:sz w:val="20"/>
                <w:szCs w:val="20"/>
              </w:rPr>
            </w:pPr>
          </w:p>
          <w:p w:rsidR="001519FD" w:rsidRPr="00984534" w:rsidRDefault="00486A75" w:rsidP="00984534">
            <w:pPr>
              <w:jc w:val="both"/>
              <w:rPr>
                <w:rFonts w:cstheme="minorHAnsi"/>
                <w:sz w:val="20"/>
                <w:szCs w:val="20"/>
              </w:rPr>
            </w:pPr>
            <w:r w:rsidRPr="00984534">
              <w:rPr>
                <w:rFonts w:cs="Arial"/>
                <w:sz w:val="20"/>
                <w:szCs w:val="20"/>
              </w:rPr>
              <w:t>SCE’s workpaper details the installation of</w:t>
            </w:r>
            <w:r w:rsidR="001519FD" w:rsidRPr="00984534">
              <w:rPr>
                <w:rFonts w:cs="Arial"/>
                <w:sz w:val="20"/>
                <w:szCs w:val="20"/>
              </w:rPr>
              <w:t xml:space="preserve"> low flow showerhead</w:t>
            </w:r>
            <w:r w:rsidR="00F021A4">
              <w:rPr>
                <w:rFonts w:cs="Arial"/>
                <w:sz w:val="20"/>
                <w:szCs w:val="20"/>
              </w:rPr>
              <w:t>s</w:t>
            </w:r>
            <w:r w:rsidR="001519FD" w:rsidRPr="00984534">
              <w:rPr>
                <w:rFonts w:cs="Arial"/>
                <w:sz w:val="20"/>
                <w:szCs w:val="20"/>
              </w:rPr>
              <w:t xml:space="preserve"> with a</w:t>
            </w:r>
            <w:r w:rsidR="009378AD">
              <w:rPr>
                <w:rFonts w:cs="Arial"/>
                <w:sz w:val="20"/>
                <w:szCs w:val="20"/>
              </w:rPr>
              <w:t xml:space="preserve"> measure</w:t>
            </w:r>
            <w:r w:rsidR="001519FD" w:rsidRPr="00984534">
              <w:rPr>
                <w:rFonts w:cs="Arial"/>
                <w:sz w:val="20"/>
                <w:szCs w:val="20"/>
              </w:rPr>
              <w:t xml:space="preserve"> case flow of 1.5 </w:t>
            </w:r>
            <w:proofErr w:type="spellStart"/>
            <w:r w:rsidR="001519FD" w:rsidRPr="00984534">
              <w:rPr>
                <w:rFonts w:cs="Arial"/>
                <w:sz w:val="20"/>
                <w:szCs w:val="20"/>
              </w:rPr>
              <w:t>gpm</w:t>
            </w:r>
            <w:proofErr w:type="spellEnd"/>
            <w:r w:rsidR="001519FD" w:rsidRPr="00984534">
              <w:rPr>
                <w:rFonts w:cs="Arial"/>
                <w:sz w:val="20"/>
                <w:szCs w:val="20"/>
              </w:rPr>
              <w:t xml:space="preserve">. </w:t>
            </w:r>
            <w:r w:rsidR="00F021A4">
              <w:rPr>
                <w:rFonts w:cs="Arial"/>
                <w:sz w:val="20"/>
                <w:szCs w:val="20"/>
              </w:rPr>
              <w:t xml:space="preserve"> This</w:t>
            </w:r>
            <w:r w:rsidR="00F021A4">
              <w:rPr>
                <w:rFonts w:cstheme="minorHAnsi"/>
                <w:sz w:val="20"/>
                <w:szCs w:val="20"/>
              </w:rPr>
              <w:t xml:space="preserve"> measure was </w:t>
            </w:r>
            <w:r w:rsidR="001519FD" w:rsidRPr="00984534">
              <w:rPr>
                <w:rFonts w:cstheme="minorHAnsi"/>
                <w:sz w:val="20"/>
                <w:szCs w:val="20"/>
              </w:rPr>
              <w:t>in</w:t>
            </w:r>
            <w:r w:rsidR="00F021A4">
              <w:rPr>
                <w:rFonts w:cstheme="minorHAnsi"/>
                <w:sz w:val="20"/>
                <w:szCs w:val="20"/>
              </w:rPr>
              <w:t xml:space="preserve"> previous DEER versions but does n</w:t>
            </w:r>
            <w:r w:rsidR="001519FD" w:rsidRPr="00984534">
              <w:rPr>
                <w:rFonts w:cstheme="minorHAnsi"/>
                <w:sz w:val="20"/>
                <w:szCs w:val="20"/>
              </w:rPr>
              <w:t>ot remain in DEER 2016. Therefore, savings in this work paper are based on an Energy Division disposition.</w:t>
            </w:r>
          </w:p>
          <w:p w:rsidR="00DB71F1" w:rsidRPr="00D86243" w:rsidRDefault="00DB71F1" w:rsidP="00555671">
            <w:pPr>
              <w:jc w:val="both"/>
              <w:rPr>
                <w:rFonts w:cs="Arial"/>
                <w:sz w:val="20"/>
                <w:szCs w:val="20"/>
              </w:rPr>
            </w:pPr>
          </w:p>
        </w:tc>
      </w:tr>
      <w:tr w:rsidR="00AF368D" w:rsidTr="00B94F6F">
        <w:trPr>
          <w:cantSplit/>
        </w:trPr>
        <w:tc>
          <w:tcPr>
            <w:tcW w:w="9350" w:type="dxa"/>
            <w:gridSpan w:val="2"/>
            <w:vAlign w:val="center"/>
          </w:tcPr>
          <w:p w:rsidR="00AF368D" w:rsidRPr="00241A1F" w:rsidRDefault="00AF368D" w:rsidP="00AF368D">
            <w:pPr>
              <w:rPr>
                <w:rFonts w:cs="Arial"/>
                <w:sz w:val="20"/>
                <w:szCs w:val="20"/>
              </w:rPr>
            </w:pPr>
            <w:r w:rsidRPr="001D77F7">
              <w:rPr>
                <w:b/>
              </w:rPr>
              <w:t>1.1 Measure &amp; Baseline Data</w:t>
            </w:r>
          </w:p>
        </w:tc>
      </w:tr>
      <w:tr w:rsidR="00DB71F1" w:rsidTr="00F52060">
        <w:trPr>
          <w:cantSplit/>
        </w:trPr>
        <w:tc>
          <w:tcPr>
            <w:tcW w:w="1975" w:type="dxa"/>
            <w:vAlign w:val="center"/>
          </w:tcPr>
          <w:p w:rsidR="00DB71F1" w:rsidRPr="001D77F7" w:rsidRDefault="00DB71F1" w:rsidP="00B94F6F">
            <w:pPr>
              <w:rPr>
                <w:b/>
              </w:rPr>
            </w:pPr>
            <w:r w:rsidRPr="001D77F7">
              <w:rPr>
                <w:b/>
              </w:rPr>
              <w:t xml:space="preserve">1.2 Technical Description </w:t>
            </w:r>
          </w:p>
        </w:tc>
        <w:tc>
          <w:tcPr>
            <w:tcW w:w="7375" w:type="dxa"/>
          </w:tcPr>
          <w:p w:rsidR="001519FD" w:rsidRPr="001519FD" w:rsidRDefault="001519FD" w:rsidP="001519FD">
            <w:pPr>
              <w:tabs>
                <w:tab w:val="num" w:pos="360"/>
              </w:tabs>
              <w:spacing w:before="40" w:after="40"/>
              <w:rPr>
                <w:rFonts w:cstheme="minorHAnsi"/>
                <w:sz w:val="20"/>
                <w:szCs w:val="20"/>
              </w:rPr>
            </w:pPr>
            <w:r w:rsidRPr="001519FD">
              <w:rPr>
                <w:rFonts w:cstheme="minorHAnsi"/>
                <w:sz w:val="20"/>
                <w:szCs w:val="20"/>
              </w:rPr>
              <w:t>There are 2 types of low flow showerheads:</w:t>
            </w:r>
          </w:p>
          <w:p w:rsidR="001519FD" w:rsidRPr="001519FD" w:rsidRDefault="001519FD" w:rsidP="001519FD">
            <w:pPr>
              <w:numPr>
                <w:ilvl w:val="0"/>
                <w:numId w:val="22"/>
              </w:numPr>
              <w:spacing w:before="40" w:after="40"/>
              <w:rPr>
                <w:rFonts w:cstheme="minorHAnsi"/>
                <w:sz w:val="20"/>
                <w:szCs w:val="20"/>
              </w:rPr>
            </w:pPr>
            <w:r w:rsidRPr="001519FD">
              <w:rPr>
                <w:rFonts w:cstheme="minorHAnsi"/>
                <w:sz w:val="20"/>
                <w:szCs w:val="20"/>
              </w:rPr>
              <w:t>Aerating showerheads introduce air into the flow, which produces an even, misty spray while maintaining sufficient water pressure.</w:t>
            </w:r>
          </w:p>
          <w:p w:rsidR="001519FD" w:rsidRPr="001519FD" w:rsidRDefault="001519FD" w:rsidP="001519FD">
            <w:pPr>
              <w:numPr>
                <w:ilvl w:val="0"/>
                <w:numId w:val="22"/>
              </w:numPr>
              <w:spacing w:before="40" w:after="40"/>
              <w:rPr>
                <w:rFonts w:cstheme="minorHAnsi"/>
                <w:sz w:val="20"/>
                <w:szCs w:val="20"/>
              </w:rPr>
            </w:pPr>
            <w:r w:rsidRPr="001519FD">
              <w:rPr>
                <w:rFonts w:cstheme="minorHAnsi"/>
                <w:sz w:val="20"/>
                <w:szCs w:val="20"/>
              </w:rPr>
              <w:t>Laminar flow showerheads split the flow of water into multiple parallel streams; no air is added. They produce less steam than aerating showerheads.</w:t>
            </w:r>
          </w:p>
          <w:p w:rsidR="001519FD" w:rsidRPr="001519FD" w:rsidRDefault="001519FD" w:rsidP="001519FD">
            <w:pPr>
              <w:tabs>
                <w:tab w:val="num" w:pos="360"/>
              </w:tabs>
              <w:spacing w:before="40" w:after="40"/>
              <w:rPr>
                <w:rFonts w:cstheme="minorHAnsi"/>
                <w:color w:val="FF0000"/>
                <w:sz w:val="20"/>
                <w:szCs w:val="20"/>
              </w:rPr>
            </w:pPr>
            <w:r w:rsidRPr="001519FD">
              <w:rPr>
                <w:rFonts w:cstheme="minorHAnsi"/>
                <w:sz w:val="20"/>
                <w:szCs w:val="20"/>
              </w:rPr>
              <w:t xml:space="preserve">This work paper assumes a showerhead measure case flow of 1.5 </w:t>
            </w:r>
            <w:proofErr w:type="spellStart"/>
            <w:r w:rsidRPr="001519FD">
              <w:rPr>
                <w:rFonts w:cstheme="minorHAnsi"/>
                <w:sz w:val="20"/>
                <w:szCs w:val="20"/>
              </w:rPr>
              <w:t>gpm</w:t>
            </w:r>
            <w:proofErr w:type="spellEnd"/>
            <w:r w:rsidRPr="001519FD">
              <w:rPr>
                <w:rFonts w:cstheme="minorHAnsi"/>
                <w:sz w:val="20"/>
                <w:szCs w:val="20"/>
              </w:rPr>
              <w:t>.</w:t>
            </w:r>
          </w:p>
          <w:p w:rsidR="00752529" w:rsidRPr="00D4142C" w:rsidRDefault="00752529" w:rsidP="00752529">
            <w:pPr>
              <w:rPr>
                <w:rFonts w:cs="Arial"/>
                <w:sz w:val="20"/>
                <w:szCs w:val="20"/>
              </w:rPr>
            </w:pPr>
            <w:bookmarkStart w:id="2" w:name="OLE_LINK3"/>
          </w:p>
          <w:bookmarkEnd w:id="2"/>
          <w:p w:rsidR="00DB71F1" w:rsidRPr="00D4142C" w:rsidRDefault="00DB71F1" w:rsidP="00D4142C">
            <w:pPr>
              <w:rPr>
                <w:rFonts w:cs="Arial"/>
                <w:sz w:val="20"/>
                <w:szCs w:val="20"/>
              </w:rPr>
            </w:pPr>
          </w:p>
        </w:tc>
      </w:tr>
      <w:tr w:rsidR="008775D7" w:rsidRPr="008775D7" w:rsidTr="00F52060">
        <w:trPr>
          <w:cantSplit/>
        </w:trPr>
        <w:tc>
          <w:tcPr>
            <w:tcW w:w="1975" w:type="dxa"/>
          </w:tcPr>
          <w:p w:rsidR="008775D7" w:rsidRPr="00241A1F" w:rsidRDefault="008775D7" w:rsidP="00241A1F">
            <w:pPr>
              <w:jc w:val="right"/>
              <w:rPr>
                <w:sz w:val="20"/>
                <w:szCs w:val="20"/>
              </w:rPr>
            </w:pPr>
            <w:r w:rsidRPr="00241A1F">
              <w:rPr>
                <w:sz w:val="20"/>
                <w:szCs w:val="20"/>
              </w:rPr>
              <w:t>Measures</w:t>
            </w:r>
          </w:p>
        </w:tc>
        <w:tc>
          <w:tcPr>
            <w:tcW w:w="7375" w:type="dxa"/>
          </w:tcPr>
          <w:p w:rsidR="00623004" w:rsidRDefault="00623004" w:rsidP="00623004">
            <w:pPr>
              <w:rPr>
                <w:rFonts w:cs="Arial"/>
                <w:sz w:val="20"/>
                <w:szCs w:val="20"/>
              </w:rPr>
            </w:pPr>
            <w:r>
              <w:rPr>
                <w:rFonts w:cs="Arial"/>
                <w:sz w:val="20"/>
                <w:szCs w:val="20"/>
              </w:rPr>
              <w:t>Low Flow Showerhead Measures:</w:t>
            </w:r>
          </w:p>
          <w:p w:rsidR="00623004" w:rsidRDefault="00623004" w:rsidP="00623004">
            <w:pPr>
              <w:rPr>
                <w:rFonts w:cs="Arial"/>
                <w:sz w:val="20"/>
                <w:szCs w:val="20"/>
              </w:rPr>
            </w:pPr>
            <w:r>
              <w:rPr>
                <w:rFonts w:cs="Arial"/>
                <w:sz w:val="20"/>
                <w:szCs w:val="20"/>
              </w:rPr>
              <w:t>421015-</w:t>
            </w:r>
            <w:r w:rsidRPr="00F21F76">
              <w:rPr>
                <w:rFonts w:cs="Arial"/>
                <w:sz w:val="20"/>
                <w:szCs w:val="20"/>
              </w:rPr>
              <w:t>Low Flow Showerheads</w:t>
            </w:r>
            <w:r>
              <w:rPr>
                <w:rFonts w:cs="Arial"/>
                <w:sz w:val="20"/>
                <w:szCs w:val="20"/>
              </w:rPr>
              <w:t xml:space="preserve"> </w:t>
            </w:r>
          </w:p>
          <w:p w:rsidR="00F21F76" w:rsidRDefault="00F21F76" w:rsidP="00AF368D">
            <w:pPr>
              <w:rPr>
                <w:rFonts w:cs="Arial"/>
                <w:sz w:val="20"/>
                <w:szCs w:val="20"/>
              </w:rPr>
            </w:pPr>
          </w:p>
          <w:p w:rsidR="00F21F76" w:rsidRDefault="00F21F76" w:rsidP="00AF368D">
            <w:pPr>
              <w:rPr>
                <w:rFonts w:cs="Arial"/>
                <w:sz w:val="20"/>
                <w:szCs w:val="20"/>
              </w:rPr>
            </w:pPr>
          </w:p>
          <w:p w:rsidR="00F21F76" w:rsidRDefault="00F21F76" w:rsidP="00AF368D">
            <w:pPr>
              <w:rPr>
                <w:rFonts w:cs="Arial"/>
                <w:sz w:val="20"/>
                <w:szCs w:val="20"/>
              </w:rPr>
            </w:pPr>
          </w:p>
          <w:p w:rsidR="008775D7" w:rsidRPr="00E733C7" w:rsidRDefault="008775D7">
            <w:pPr>
              <w:rPr>
                <w:rFonts w:cs="Arial"/>
                <w:sz w:val="20"/>
                <w:szCs w:val="20"/>
              </w:rPr>
            </w:pPr>
          </w:p>
        </w:tc>
      </w:tr>
      <w:tr w:rsidR="008775D7" w:rsidRPr="008775D7" w:rsidTr="00F52060">
        <w:trPr>
          <w:cantSplit/>
        </w:trPr>
        <w:tc>
          <w:tcPr>
            <w:tcW w:w="1975" w:type="dxa"/>
          </w:tcPr>
          <w:p w:rsidR="008775D7" w:rsidRPr="00653C4B" w:rsidRDefault="008775D7" w:rsidP="00241A1F">
            <w:pPr>
              <w:jc w:val="right"/>
              <w:rPr>
                <w:sz w:val="20"/>
                <w:szCs w:val="20"/>
              </w:rPr>
            </w:pPr>
            <w:r w:rsidRPr="00653C4B">
              <w:rPr>
                <w:sz w:val="20"/>
                <w:szCs w:val="20"/>
              </w:rPr>
              <w:t>Code for All Measures</w:t>
            </w:r>
          </w:p>
        </w:tc>
        <w:tc>
          <w:tcPr>
            <w:tcW w:w="7375" w:type="dxa"/>
          </w:tcPr>
          <w:p w:rsidR="0040369C" w:rsidRPr="0040369C" w:rsidRDefault="0040369C" w:rsidP="0040369C">
            <w:pPr>
              <w:pStyle w:val="Reminders"/>
              <w:rPr>
                <w:rFonts w:asciiTheme="minorHAnsi" w:hAnsiTheme="minorHAnsi" w:cstheme="minorHAnsi"/>
                <w:i w:val="0"/>
                <w:color w:val="auto"/>
                <w:sz w:val="20"/>
                <w:szCs w:val="20"/>
              </w:rPr>
            </w:pPr>
            <w:r w:rsidRPr="0040369C">
              <w:rPr>
                <w:rFonts w:asciiTheme="minorHAnsi" w:hAnsiTheme="minorHAnsi" w:cstheme="minorHAnsi"/>
                <w:b/>
                <w:i w:val="0"/>
                <w:color w:val="auto"/>
                <w:sz w:val="20"/>
                <w:szCs w:val="20"/>
              </w:rPr>
              <w:t>Title 20 2016:</w:t>
            </w:r>
            <w:r w:rsidRPr="0040369C">
              <w:rPr>
                <w:rFonts w:asciiTheme="minorHAnsi" w:hAnsiTheme="minorHAnsi" w:cstheme="minorHAnsi"/>
                <w:i w:val="0"/>
                <w:color w:val="auto"/>
                <w:sz w:val="20"/>
                <w:szCs w:val="20"/>
              </w:rPr>
              <w:t xml:space="preserve"> Section 1605.1, Table H-5 provides requirements for showerheads. The measure cases in this work paper have lower flow rates (</w:t>
            </w:r>
            <w:r w:rsidR="00C50122">
              <w:rPr>
                <w:rFonts w:asciiTheme="minorHAnsi" w:hAnsiTheme="minorHAnsi" w:cstheme="minorHAnsi"/>
                <w:i w:val="0"/>
                <w:color w:val="auto"/>
                <w:sz w:val="20"/>
                <w:szCs w:val="20"/>
              </w:rPr>
              <w:t>1.5</w:t>
            </w:r>
            <w:r w:rsidRPr="0040369C">
              <w:rPr>
                <w:rFonts w:asciiTheme="minorHAnsi" w:hAnsiTheme="minorHAnsi" w:cstheme="minorHAnsi"/>
                <w:i w:val="0"/>
                <w:color w:val="auto"/>
                <w:sz w:val="20"/>
                <w:szCs w:val="20"/>
              </w:rPr>
              <w:t xml:space="preserve"> </w:t>
            </w:r>
            <w:proofErr w:type="spellStart"/>
            <w:r w:rsidRPr="0040369C">
              <w:rPr>
                <w:rFonts w:asciiTheme="minorHAnsi" w:hAnsiTheme="minorHAnsi" w:cstheme="minorHAnsi"/>
                <w:i w:val="0"/>
                <w:color w:val="auto"/>
                <w:sz w:val="20"/>
                <w:szCs w:val="20"/>
              </w:rPr>
              <w:t>gpm</w:t>
            </w:r>
            <w:proofErr w:type="spellEnd"/>
            <w:r w:rsidRPr="0040369C">
              <w:rPr>
                <w:rFonts w:asciiTheme="minorHAnsi" w:hAnsiTheme="minorHAnsi" w:cstheme="minorHAnsi"/>
                <w:i w:val="0"/>
                <w:color w:val="auto"/>
                <w:sz w:val="20"/>
                <w:szCs w:val="20"/>
              </w:rPr>
              <w:t xml:space="preserve"> for showerheads</w:t>
            </w:r>
            <w:r w:rsidR="00C50122">
              <w:rPr>
                <w:rFonts w:asciiTheme="minorHAnsi" w:hAnsiTheme="minorHAnsi" w:cstheme="minorHAnsi"/>
                <w:i w:val="0"/>
                <w:color w:val="auto"/>
                <w:sz w:val="20"/>
                <w:szCs w:val="20"/>
              </w:rPr>
              <w:t xml:space="preserve">) </w:t>
            </w:r>
            <w:r w:rsidRPr="0040369C">
              <w:rPr>
                <w:rFonts w:asciiTheme="minorHAnsi" w:hAnsiTheme="minorHAnsi" w:cstheme="minorHAnsi"/>
                <w:i w:val="0"/>
                <w:color w:val="auto"/>
                <w:sz w:val="20"/>
                <w:szCs w:val="20"/>
              </w:rPr>
              <w:t xml:space="preserve">when compared to 2016 Title-20 standards. </w:t>
            </w:r>
            <w:r w:rsidR="00C50122">
              <w:rPr>
                <w:rFonts w:asciiTheme="minorHAnsi" w:hAnsiTheme="minorHAnsi" w:cstheme="minorHAnsi"/>
                <w:i w:val="0"/>
                <w:color w:val="auto"/>
                <w:sz w:val="20"/>
                <w:szCs w:val="20"/>
              </w:rPr>
              <w:t xml:space="preserve">This will still be true on July 1, 2018 when showerhead minimum flow rate is reduced to 1.8 </w:t>
            </w:r>
            <w:proofErr w:type="spellStart"/>
            <w:r w:rsidR="00C50122">
              <w:rPr>
                <w:rFonts w:asciiTheme="minorHAnsi" w:hAnsiTheme="minorHAnsi" w:cstheme="minorHAnsi"/>
                <w:i w:val="0"/>
                <w:color w:val="auto"/>
                <w:sz w:val="20"/>
                <w:szCs w:val="20"/>
              </w:rPr>
              <w:t>gpm</w:t>
            </w:r>
            <w:proofErr w:type="spellEnd"/>
            <w:r w:rsidR="00C50122">
              <w:rPr>
                <w:rFonts w:asciiTheme="minorHAnsi" w:hAnsiTheme="minorHAnsi" w:cstheme="minorHAnsi"/>
                <w:i w:val="0"/>
                <w:color w:val="auto"/>
                <w:sz w:val="20"/>
                <w:szCs w:val="20"/>
              </w:rPr>
              <w:t>.</w:t>
            </w:r>
          </w:p>
          <w:p w:rsidR="0040369C" w:rsidRDefault="0040369C" w:rsidP="0040369C">
            <w:pPr>
              <w:pStyle w:val="Reminders"/>
              <w:rPr>
                <w:rFonts w:asciiTheme="minorHAnsi" w:hAnsiTheme="minorHAnsi" w:cstheme="minorHAnsi"/>
                <w:i w:val="0"/>
                <w:color w:val="auto"/>
                <w:szCs w:val="22"/>
              </w:rPr>
            </w:pPr>
          </w:p>
          <w:p w:rsidR="0040369C" w:rsidRDefault="0040369C" w:rsidP="0040369C">
            <w:pPr>
              <w:pStyle w:val="Reminders"/>
              <w:rPr>
                <w:rFonts w:asciiTheme="minorHAnsi" w:hAnsiTheme="minorHAnsi" w:cstheme="minorHAnsi"/>
                <w:i w:val="0"/>
                <w:color w:val="auto"/>
                <w:szCs w:val="22"/>
              </w:rPr>
            </w:pPr>
            <w:r>
              <w:rPr>
                <w:rFonts w:asciiTheme="minorHAnsi" w:hAnsiTheme="minorHAnsi" w:cstheme="minorHAnsi"/>
                <w:i w:val="0"/>
                <w:noProof/>
                <w:color w:val="auto"/>
                <w:szCs w:val="22"/>
              </w:rPr>
              <w:drawing>
                <wp:inline distT="0" distB="0" distL="0" distR="0">
                  <wp:extent cx="4545965" cy="2268855"/>
                  <wp:effectExtent l="0" t="0" r="6985" b="0"/>
                  <wp:docPr id="6" name="Picture 6"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674735D.tmp"/>
                          <pic:cNvPicPr/>
                        </pic:nvPicPr>
                        <pic:blipFill>
                          <a:blip r:embed="rId15">
                            <a:extLst>
                              <a:ext uri="{28A0092B-C50C-407E-A947-70E740481C1C}">
                                <a14:useLocalDpi xmlns:a14="http://schemas.microsoft.com/office/drawing/2010/main" val="0"/>
                              </a:ext>
                            </a:extLst>
                          </a:blip>
                          <a:stretch>
                            <a:fillRect/>
                          </a:stretch>
                        </pic:blipFill>
                        <pic:spPr>
                          <a:xfrm>
                            <a:off x="0" y="0"/>
                            <a:ext cx="4545965" cy="2268855"/>
                          </a:xfrm>
                          <a:prstGeom prst="rect">
                            <a:avLst/>
                          </a:prstGeom>
                        </pic:spPr>
                      </pic:pic>
                    </a:graphicData>
                  </a:graphic>
                </wp:inline>
              </w:drawing>
            </w:r>
          </w:p>
          <w:p w:rsidR="000E65D6" w:rsidRPr="00653C4B" w:rsidRDefault="000E65D6" w:rsidP="005C1518">
            <w:pPr>
              <w:jc w:val="both"/>
              <w:rPr>
                <w:rFonts w:cs="Arial"/>
                <w:sz w:val="20"/>
                <w:szCs w:val="20"/>
              </w:rPr>
            </w:pPr>
          </w:p>
        </w:tc>
      </w:tr>
      <w:tr w:rsidR="00E84938" w:rsidTr="00F52060">
        <w:trPr>
          <w:cantSplit/>
        </w:trPr>
        <w:tc>
          <w:tcPr>
            <w:tcW w:w="1975" w:type="dxa"/>
          </w:tcPr>
          <w:p w:rsidR="00E84938" w:rsidRPr="001D77F7" w:rsidRDefault="00E84938" w:rsidP="008724D6">
            <w:pPr>
              <w:jc w:val="right"/>
              <w:rPr>
                <w:b/>
              </w:rPr>
            </w:pPr>
            <w:r w:rsidRPr="00197677">
              <w:rPr>
                <w:rFonts w:cs="Arial"/>
                <w:sz w:val="20"/>
                <w:szCs w:val="20"/>
              </w:rPr>
              <w:lastRenderedPageBreak/>
              <w:t>Requirements</w:t>
            </w:r>
          </w:p>
        </w:tc>
        <w:tc>
          <w:tcPr>
            <w:tcW w:w="7375" w:type="dxa"/>
          </w:tcPr>
          <w:p w:rsidR="00C50122" w:rsidRPr="00C50122" w:rsidRDefault="00C50122" w:rsidP="00C50122">
            <w:pPr>
              <w:pStyle w:val="Reminders"/>
              <w:rPr>
                <w:rFonts w:asciiTheme="minorHAnsi" w:hAnsiTheme="minorHAnsi" w:cstheme="minorHAnsi"/>
                <w:i w:val="0"/>
                <w:color w:val="auto"/>
                <w:sz w:val="20"/>
                <w:szCs w:val="20"/>
              </w:rPr>
            </w:pPr>
            <w:r w:rsidRPr="00C50122">
              <w:rPr>
                <w:rFonts w:asciiTheme="minorHAnsi" w:hAnsiTheme="minorHAnsi" w:cstheme="minorHAnsi"/>
                <w:i w:val="0"/>
                <w:color w:val="auto"/>
                <w:sz w:val="20"/>
                <w:szCs w:val="20"/>
              </w:rPr>
              <w:t>Eligible building types are:</w:t>
            </w:r>
          </w:p>
          <w:p w:rsidR="00C50122" w:rsidRPr="00C50122" w:rsidRDefault="00C50122" w:rsidP="00C50122">
            <w:pPr>
              <w:pStyle w:val="Reminders"/>
              <w:numPr>
                <w:ilvl w:val="0"/>
                <w:numId w:val="23"/>
              </w:numPr>
              <w:rPr>
                <w:rFonts w:asciiTheme="minorHAnsi" w:hAnsiTheme="minorHAnsi" w:cstheme="minorHAnsi"/>
                <w:i w:val="0"/>
                <w:color w:val="auto"/>
                <w:sz w:val="20"/>
                <w:szCs w:val="20"/>
              </w:rPr>
            </w:pPr>
            <w:r w:rsidRPr="00C50122">
              <w:rPr>
                <w:rFonts w:asciiTheme="minorHAnsi" w:hAnsiTheme="minorHAnsi" w:cstheme="minorHAnsi"/>
                <w:i w:val="0"/>
                <w:color w:val="auto"/>
                <w:sz w:val="20"/>
                <w:szCs w:val="20"/>
              </w:rPr>
              <w:t>Residential Single Family</w:t>
            </w:r>
          </w:p>
          <w:p w:rsidR="00C50122" w:rsidRPr="00C50122" w:rsidRDefault="00C50122" w:rsidP="00C50122">
            <w:pPr>
              <w:pStyle w:val="Reminders"/>
              <w:numPr>
                <w:ilvl w:val="0"/>
                <w:numId w:val="23"/>
              </w:numPr>
              <w:rPr>
                <w:rFonts w:asciiTheme="minorHAnsi" w:hAnsiTheme="minorHAnsi" w:cstheme="minorHAnsi"/>
                <w:i w:val="0"/>
                <w:color w:val="auto"/>
                <w:sz w:val="20"/>
                <w:szCs w:val="20"/>
              </w:rPr>
            </w:pPr>
            <w:r w:rsidRPr="00C50122">
              <w:rPr>
                <w:rFonts w:asciiTheme="minorHAnsi" w:hAnsiTheme="minorHAnsi" w:cstheme="minorHAnsi"/>
                <w:i w:val="0"/>
                <w:color w:val="auto"/>
                <w:sz w:val="20"/>
                <w:szCs w:val="20"/>
              </w:rPr>
              <w:t>Residential Multi-family</w:t>
            </w:r>
          </w:p>
          <w:p w:rsidR="00C50122" w:rsidRPr="00C50122" w:rsidRDefault="00C50122" w:rsidP="00C50122">
            <w:pPr>
              <w:pStyle w:val="Reminders"/>
              <w:numPr>
                <w:ilvl w:val="0"/>
                <w:numId w:val="23"/>
              </w:numPr>
              <w:rPr>
                <w:rFonts w:asciiTheme="minorHAnsi" w:hAnsiTheme="minorHAnsi" w:cstheme="minorHAnsi"/>
                <w:i w:val="0"/>
                <w:color w:val="auto"/>
                <w:sz w:val="20"/>
                <w:szCs w:val="20"/>
              </w:rPr>
            </w:pPr>
            <w:r w:rsidRPr="00C50122">
              <w:rPr>
                <w:rFonts w:asciiTheme="minorHAnsi" w:hAnsiTheme="minorHAnsi" w:cstheme="minorHAnsi"/>
                <w:i w:val="0"/>
                <w:color w:val="auto"/>
                <w:sz w:val="20"/>
                <w:szCs w:val="20"/>
              </w:rPr>
              <w:t>Residential Mobile Home - Double-Wide</w:t>
            </w:r>
          </w:p>
          <w:p w:rsidR="00C50122" w:rsidRPr="00C50122" w:rsidRDefault="00C50122" w:rsidP="00C50122">
            <w:pPr>
              <w:pStyle w:val="Reminders"/>
              <w:rPr>
                <w:rFonts w:asciiTheme="minorHAnsi" w:hAnsiTheme="minorHAnsi" w:cstheme="minorHAnsi"/>
                <w:i w:val="0"/>
                <w:color w:val="auto"/>
                <w:sz w:val="20"/>
                <w:szCs w:val="20"/>
              </w:rPr>
            </w:pPr>
          </w:p>
          <w:p w:rsidR="00C50122" w:rsidRPr="00C50122" w:rsidRDefault="00C50122" w:rsidP="00C50122">
            <w:pPr>
              <w:pStyle w:val="Reminders"/>
              <w:rPr>
                <w:rFonts w:asciiTheme="minorHAnsi" w:hAnsiTheme="minorHAnsi" w:cstheme="minorHAnsi"/>
                <w:i w:val="0"/>
                <w:sz w:val="20"/>
                <w:szCs w:val="20"/>
              </w:rPr>
            </w:pPr>
            <w:r w:rsidRPr="00C50122">
              <w:rPr>
                <w:rFonts w:asciiTheme="minorHAnsi" w:hAnsiTheme="minorHAnsi" w:cstheme="minorHAnsi"/>
                <w:i w:val="0"/>
                <w:color w:val="auto"/>
                <w:sz w:val="20"/>
                <w:szCs w:val="20"/>
              </w:rPr>
              <w:t>All SDG&amp;E climate zones are eligible.  For direct install measures, the contractor must verify that the</w:t>
            </w:r>
            <w:r w:rsidR="00E65DD7">
              <w:rPr>
                <w:rFonts w:asciiTheme="minorHAnsi" w:hAnsiTheme="minorHAnsi" w:cstheme="minorHAnsi"/>
                <w:i w:val="0"/>
                <w:color w:val="auto"/>
                <w:sz w:val="20"/>
                <w:szCs w:val="20"/>
              </w:rPr>
              <w:t xml:space="preserve"> product is installed correctly and the installed product must exceed code </w:t>
            </w:r>
            <w:r w:rsidR="00984534">
              <w:rPr>
                <w:rFonts w:asciiTheme="minorHAnsi" w:hAnsiTheme="minorHAnsi" w:cstheme="minorHAnsi"/>
                <w:i w:val="0"/>
                <w:color w:val="auto"/>
                <w:sz w:val="20"/>
                <w:szCs w:val="20"/>
              </w:rPr>
              <w:t>requirements</w:t>
            </w:r>
            <w:r w:rsidR="00E65DD7">
              <w:rPr>
                <w:rFonts w:asciiTheme="minorHAnsi" w:hAnsiTheme="minorHAnsi" w:cstheme="minorHAnsi"/>
                <w:i w:val="0"/>
                <w:color w:val="auto"/>
                <w:sz w:val="20"/>
                <w:szCs w:val="20"/>
              </w:rPr>
              <w:t>.</w:t>
            </w:r>
          </w:p>
          <w:p w:rsidR="00AF368D" w:rsidRPr="00555671" w:rsidRDefault="00AF368D" w:rsidP="001D6A64">
            <w:pPr>
              <w:jc w:val="both"/>
              <w:rPr>
                <w:sz w:val="20"/>
                <w:szCs w:val="20"/>
              </w:rPr>
            </w:pPr>
          </w:p>
        </w:tc>
      </w:tr>
      <w:tr w:rsidR="00AF368D" w:rsidTr="00B94F6F">
        <w:trPr>
          <w:cantSplit/>
        </w:trPr>
        <w:tc>
          <w:tcPr>
            <w:tcW w:w="9350" w:type="dxa"/>
            <w:gridSpan w:val="2"/>
          </w:tcPr>
          <w:p w:rsidR="00AF368D" w:rsidRPr="00D86243" w:rsidRDefault="00AF368D" w:rsidP="00B94F6F">
            <w:pPr>
              <w:rPr>
                <w:rFonts w:cs="Arial"/>
                <w:sz w:val="20"/>
                <w:szCs w:val="20"/>
              </w:rPr>
            </w:pPr>
            <w:r w:rsidRPr="001D77F7">
              <w:rPr>
                <w:b/>
              </w:rPr>
              <w:t>1.3 Installation Type and Delivery Mechanisms</w:t>
            </w:r>
          </w:p>
        </w:tc>
      </w:tr>
      <w:tr w:rsidR="00DB71F1" w:rsidTr="00F52060">
        <w:trPr>
          <w:cantSplit/>
        </w:trPr>
        <w:tc>
          <w:tcPr>
            <w:tcW w:w="1975" w:type="dxa"/>
            <w:vAlign w:val="center"/>
          </w:tcPr>
          <w:p w:rsidR="00DB71F1" w:rsidRPr="00822B6F" w:rsidRDefault="00DB71F1" w:rsidP="00B94F6F">
            <w:pPr>
              <w:jc w:val="right"/>
              <w:rPr>
                <w:sz w:val="20"/>
                <w:szCs w:val="20"/>
              </w:rPr>
            </w:pPr>
            <w:r w:rsidRPr="00822B6F">
              <w:rPr>
                <w:sz w:val="20"/>
                <w:szCs w:val="20"/>
              </w:rPr>
              <w:t>Installation Type</w:t>
            </w:r>
          </w:p>
        </w:tc>
        <w:tc>
          <w:tcPr>
            <w:tcW w:w="7375" w:type="dxa"/>
          </w:tcPr>
          <w:p w:rsidR="00CF2ABA" w:rsidRPr="00F52060" w:rsidRDefault="00F52060" w:rsidP="00FE636E">
            <w:pPr>
              <w:rPr>
                <w:rFonts w:cs="Arial"/>
                <w:sz w:val="20"/>
                <w:szCs w:val="20"/>
              </w:rPr>
            </w:pPr>
            <w:r w:rsidRPr="00F52060">
              <w:rPr>
                <w:sz w:val="20"/>
                <w:szCs w:val="20"/>
              </w:rPr>
              <w:t>Retrofit Add-on (REA)</w:t>
            </w:r>
          </w:p>
        </w:tc>
      </w:tr>
      <w:tr w:rsidR="00DB71F1" w:rsidTr="00F52060">
        <w:trPr>
          <w:cantSplit/>
        </w:trPr>
        <w:tc>
          <w:tcPr>
            <w:tcW w:w="1975" w:type="dxa"/>
            <w:vAlign w:val="center"/>
          </w:tcPr>
          <w:p w:rsidR="00DB71F1" w:rsidRPr="00822B6F" w:rsidRDefault="00DB71F1" w:rsidP="00B94F6F">
            <w:pPr>
              <w:jc w:val="right"/>
              <w:rPr>
                <w:sz w:val="20"/>
                <w:szCs w:val="20"/>
              </w:rPr>
            </w:pPr>
            <w:r w:rsidRPr="00822B6F">
              <w:rPr>
                <w:sz w:val="20"/>
                <w:szCs w:val="20"/>
              </w:rPr>
              <w:t>Delivery Mechanisms</w:t>
            </w:r>
          </w:p>
        </w:tc>
        <w:tc>
          <w:tcPr>
            <w:tcW w:w="7375" w:type="dxa"/>
          </w:tcPr>
          <w:p w:rsidR="002805E5" w:rsidRDefault="002805E5" w:rsidP="00A86013">
            <w:pPr>
              <w:rPr>
                <w:rFonts w:cs="Arial"/>
                <w:sz w:val="20"/>
                <w:szCs w:val="20"/>
              </w:rPr>
            </w:pPr>
            <w:r>
              <w:rPr>
                <w:rFonts w:cs="Arial"/>
                <w:sz w:val="20"/>
                <w:szCs w:val="20"/>
              </w:rPr>
              <w:t>Low Flow Showerhead Measures:</w:t>
            </w:r>
          </w:p>
          <w:p w:rsidR="002805E5" w:rsidRDefault="002805E5" w:rsidP="002805E5">
            <w:pPr>
              <w:rPr>
                <w:rFonts w:cs="Arial"/>
                <w:sz w:val="20"/>
                <w:szCs w:val="20"/>
              </w:rPr>
            </w:pPr>
            <w:r>
              <w:rPr>
                <w:rFonts w:cs="Arial"/>
                <w:sz w:val="20"/>
                <w:szCs w:val="20"/>
              </w:rPr>
              <w:t>421015-</w:t>
            </w:r>
            <w:r w:rsidRPr="00F21F76">
              <w:rPr>
                <w:rFonts w:cs="Arial"/>
                <w:sz w:val="20"/>
                <w:szCs w:val="20"/>
              </w:rPr>
              <w:t>Low Flow Showerheads</w:t>
            </w:r>
            <w:r>
              <w:rPr>
                <w:rFonts w:cs="Arial"/>
                <w:sz w:val="20"/>
                <w:szCs w:val="20"/>
              </w:rPr>
              <w:t xml:space="preserve"> (</w:t>
            </w:r>
            <w:r w:rsidRPr="00B00846">
              <w:rPr>
                <w:rFonts w:cs="Arial"/>
                <w:sz w:val="20"/>
                <w:szCs w:val="20"/>
              </w:rPr>
              <w:t>Direct Install</w:t>
            </w:r>
            <w:r>
              <w:rPr>
                <w:rFonts w:cs="Arial"/>
                <w:sz w:val="20"/>
                <w:szCs w:val="20"/>
              </w:rPr>
              <w:t>)</w:t>
            </w:r>
          </w:p>
          <w:p w:rsidR="002805E5" w:rsidRDefault="002805E5" w:rsidP="00F21F76">
            <w:pPr>
              <w:rPr>
                <w:rFonts w:cs="Arial"/>
                <w:sz w:val="20"/>
                <w:szCs w:val="20"/>
              </w:rPr>
            </w:pPr>
          </w:p>
          <w:p w:rsidR="00B9551F" w:rsidRPr="00FE636E" w:rsidRDefault="00B9551F" w:rsidP="00FE636E">
            <w:pPr>
              <w:rPr>
                <w:rFonts w:cs="Arial"/>
                <w:sz w:val="20"/>
                <w:szCs w:val="20"/>
              </w:rPr>
            </w:pPr>
          </w:p>
        </w:tc>
      </w:tr>
      <w:tr w:rsidR="00DD2F3D" w:rsidTr="00B94F6F">
        <w:trPr>
          <w:cantSplit/>
        </w:trPr>
        <w:tc>
          <w:tcPr>
            <w:tcW w:w="9350" w:type="dxa"/>
            <w:gridSpan w:val="2"/>
          </w:tcPr>
          <w:p w:rsidR="00DD2F3D" w:rsidRDefault="00DD2F3D" w:rsidP="00B94F6F">
            <w:r w:rsidRPr="001D77F7">
              <w:rPr>
                <w:b/>
              </w:rPr>
              <w:t>1.4.1 DEER Data</w:t>
            </w:r>
          </w:p>
        </w:tc>
      </w:tr>
      <w:tr w:rsidR="00DD7DBE" w:rsidTr="00F52060">
        <w:trPr>
          <w:cantSplit/>
        </w:trPr>
        <w:tc>
          <w:tcPr>
            <w:tcW w:w="1975" w:type="dxa"/>
            <w:vAlign w:val="center"/>
          </w:tcPr>
          <w:p w:rsidR="00DD7DBE" w:rsidRPr="00822B6F" w:rsidRDefault="00DD7DBE" w:rsidP="00DD7DBE">
            <w:pPr>
              <w:jc w:val="right"/>
              <w:rPr>
                <w:sz w:val="20"/>
                <w:szCs w:val="20"/>
              </w:rPr>
            </w:pPr>
            <w:r w:rsidRPr="00822B6F">
              <w:rPr>
                <w:sz w:val="20"/>
                <w:szCs w:val="20"/>
              </w:rPr>
              <w:t>Net-to-Gross Ratio</w:t>
            </w:r>
          </w:p>
        </w:tc>
        <w:tc>
          <w:tcPr>
            <w:tcW w:w="7375" w:type="dxa"/>
          </w:tcPr>
          <w:p w:rsidR="00E450A0" w:rsidRPr="00920905" w:rsidRDefault="00E450A0" w:rsidP="00E450A0">
            <w:pPr>
              <w:pStyle w:val="NoSpacing"/>
            </w:pPr>
            <w:r w:rsidRPr="004D069A">
              <w:t>The NTG values were obtained using the DEER READI tool. The relevant NTG values for the measures in this work paper are in the table below.</w:t>
            </w:r>
          </w:p>
          <w:p w:rsidR="00E450A0" w:rsidRDefault="00E450A0" w:rsidP="00DD7DBE">
            <w:pPr>
              <w:rPr>
                <w:rFonts w:cs="Arial"/>
                <w:color w:val="FF0000"/>
                <w:szCs w:val="20"/>
              </w:rPr>
            </w:pPr>
          </w:p>
          <w:p w:rsidR="00E450A0" w:rsidRPr="00500C4E" w:rsidRDefault="00E450A0" w:rsidP="00DD7DBE">
            <w:pPr>
              <w:rPr>
                <w:rFonts w:cs="Arial"/>
                <w:color w:val="FF0000"/>
                <w:szCs w:val="20"/>
              </w:rPr>
            </w:pPr>
            <w:r>
              <w:rPr>
                <w:rFonts w:cstheme="minorHAnsi"/>
                <w:bCs/>
                <w:noProof/>
                <w:sz w:val="20"/>
              </w:rPr>
              <w:drawing>
                <wp:inline distT="0" distB="0" distL="0" distR="0" wp14:anchorId="3DFE386C" wp14:editId="5CC7499F">
                  <wp:extent cx="4545965" cy="888365"/>
                  <wp:effectExtent l="0" t="0" r="6985" b="6985"/>
                  <wp:docPr id="11" name="Picture 11"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338F060.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45965" cy="888365"/>
                          </a:xfrm>
                          <a:prstGeom prst="rect">
                            <a:avLst/>
                          </a:prstGeom>
                        </pic:spPr>
                      </pic:pic>
                    </a:graphicData>
                  </a:graphic>
                </wp:inline>
              </w:drawing>
            </w:r>
          </w:p>
        </w:tc>
      </w:tr>
      <w:tr w:rsidR="00DD7DBE" w:rsidTr="00AF368D">
        <w:trPr>
          <w:cantSplit/>
          <w:trHeight w:val="845"/>
        </w:trPr>
        <w:tc>
          <w:tcPr>
            <w:tcW w:w="1975" w:type="dxa"/>
            <w:vAlign w:val="center"/>
          </w:tcPr>
          <w:p w:rsidR="00DD7DBE" w:rsidRPr="00822B6F" w:rsidRDefault="00DD7DBE" w:rsidP="00DD7DBE">
            <w:pPr>
              <w:jc w:val="right"/>
              <w:rPr>
                <w:sz w:val="20"/>
                <w:szCs w:val="20"/>
              </w:rPr>
            </w:pPr>
            <w:r w:rsidRPr="00822B6F">
              <w:rPr>
                <w:sz w:val="20"/>
                <w:szCs w:val="20"/>
              </w:rPr>
              <w:t>Effective and Remaining Useful Life</w:t>
            </w:r>
          </w:p>
        </w:tc>
        <w:tc>
          <w:tcPr>
            <w:tcW w:w="7375" w:type="dxa"/>
          </w:tcPr>
          <w:p w:rsidR="00DD7DBE" w:rsidRPr="00B7580B" w:rsidRDefault="00DD7DBE" w:rsidP="00DD7DBE">
            <w:pPr>
              <w:pStyle w:val="NoSpacing"/>
              <w:rPr>
                <w:sz w:val="20"/>
                <w:szCs w:val="20"/>
              </w:rPr>
            </w:pPr>
            <w:r w:rsidRPr="00B7580B">
              <w:rPr>
                <w:sz w:val="20"/>
                <w:szCs w:val="20"/>
              </w:rPr>
              <w:t xml:space="preserve">The EUL and RUL values were obtained using the DEER READI v2.4.7 tool. DEER defines the RUL as 1/3 of the EUL value. </w:t>
            </w:r>
          </w:p>
          <w:p w:rsidR="00DD7DBE" w:rsidRPr="00920905" w:rsidRDefault="00DD7DBE" w:rsidP="00DD7DBE">
            <w:pPr>
              <w:pStyle w:val="NoSpacing"/>
            </w:pPr>
          </w:p>
          <w:tbl>
            <w:tblPr>
              <w:tblStyle w:val="TableGrid1"/>
              <w:tblW w:w="5000" w:type="pct"/>
              <w:tblLayout w:type="fixed"/>
              <w:tblLook w:val="04A0" w:firstRow="1" w:lastRow="0" w:firstColumn="1" w:lastColumn="0" w:noHBand="0" w:noVBand="1"/>
            </w:tblPr>
            <w:tblGrid>
              <w:gridCol w:w="1375"/>
              <w:gridCol w:w="1859"/>
              <w:gridCol w:w="796"/>
              <w:gridCol w:w="1350"/>
              <w:gridCol w:w="811"/>
              <w:gridCol w:w="958"/>
            </w:tblGrid>
            <w:tr w:rsidR="00DD7DBE" w:rsidRPr="00500C4E" w:rsidTr="00F021A4">
              <w:tc>
                <w:tcPr>
                  <w:tcW w:w="962" w:type="pct"/>
                  <w:shd w:val="clear" w:color="auto" w:fill="D9D9D9" w:themeFill="background1" w:themeFillShade="D9"/>
                </w:tcPr>
                <w:p w:rsidR="00DD7DBE" w:rsidRPr="00920905" w:rsidRDefault="00DD7DBE" w:rsidP="00DD7DBE">
                  <w:pPr>
                    <w:rPr>
                      <w:rFonts w:cstheme="minorHAnsi"/>
                      <w:b/>
                      <w:szCs w:val="20"/>
                    </w:rPr>
                  </w:pPr>
                  <w:r w:rsidRPr="00920905">
                    <w:rPr>
                      <w:rFonts w:cstheme="minorHAnsi"/>
                      <w:b/>
                      <w:szCs w:val="20"/>
                    </w:rPr>
                    <w:t>EUL ID</w:t>
                  </w:r>
                </w:p>
              </w:tc>
              <w:tc>
                <w:tcPr>
                  <w:tcW w:w="1300" w:type="pct"/>
                  <w:shd w:val="clear" w:color="auto" w:fill="D9D9D9" w:themeFill="background1" w:themeFillShade="D9"/>
                </w:tcPr>
                <w:p w:rsidR="00DD7DBE" w:rsidRPr="00920905" w:rsidRDefault="00DD7DBE" w:rsidP="00DD7DBE">
                  <w:pPr>
                    <w:rPr>
                      <w:rFonts w:cstheme="minorHAnsi"/>
                      <w:b/>
                      <w:szCs w:val="20"/>
                    </w:rPr>
                  </w:pPr>
                  <w:r w:rsidRPr="00920905">
                    <w:rPr>
                      <w:rFonts w:cstheme="minorHAnsi"/>
                      <w:b/>
                      <w:szCs w:val="20"/>
                    </w:rPr>
                    <w:t>Description</w:t>
                  </w:r>
                </w:p>
              </w:tc>
              <w:tc>
                <w:tcPr>
                  <w:tcW w:w="557" w:type="pct"/>
                  <w:shd w:val="clear" w:color="auto" w:fill="D9D9D9" w:themeFill="background1" w:themeFillShade="D9"/>
                </w:tcPr>
                <w:p w:rsidR="00DD7DBE" w:rsidRPr="00920905" w:rsidRDefault="00DD7DBE" w:rsidP="00DD7DBE">
                  <w:pPr>
                    <w:rPr>
                      <w:rFonts w:cstheme="minorHAnsi"/>
                      <w:b/>
                      <w:szCs w:val="20"/>
                    </w:rPr>
                  </w:pPr>
                  <w:r w:rsidRPr="00920905">
                    <w:rPr>
                      <w:rFonts w:cstheme="minorHAnsi"/>
                      <w:b/>
                      <w:szCs w:val="20"/>
                    </w:rPr>
                    <w:t>Sector</w:t>
                  </w:r>
                </w:p>
              </w:tc>
              <w:tc>
                <w:tcPr>
                  <w:tcW w:w="944" w:type="pct"/>
                  <w:shd w:val="clear" w:color="auto" w:fill="D9D9D9" w:themeFill="background1" w:themeFillShade="D9"/>
                </w:tcPr>
                <w:p w:rsidR="00DD7DBE" w:rsidRPr="00920905" w:rsidRDefault="00DD7DBE" w:rsidP="00DD7DBE">
                  <w:pPr>
                    <w:rPr>
                      <w:rFonts w:cstheme="minorHAnsi"/>
                      <w:b/>
                      <w:szCs w:val="20"/>
                    </w:rPr>
                  </w:pPr>
                  <w:proofErr w:type="spellStart"/>
                  <w:r w:rsidRPr="00920905">
                    <w:rPr>
                      <w:rFonts w:cstheme="minorHAnsi"/>
                      <w:b/>
                      <w:szCs w:val="20"/>
                    </w:rPr>
                    <w:t>UseCategory</w:t>
                  </w:r>
                  <w:proofErr w:type="spellEnd"/>
                </w:p>
              </w:tc>
              <w:tc>
                <w:tcPr>
                  <w:tcW w:w="567" w:type="pct"/>
                  <w:shd w:val="clear" w:color="auto" w:fill="D9D9D9" w:themeFill="background1" w:themeFillShade="D9"/>
                </w:tcPr>
                <w:p w:rsidR="00DD7DBE" w:rsidRPr="00920905" w:rsidRDefault="00DD7DBE" w:rsidP="00DD7DBE">
                  <w:pPr>
                    <w:rPr>
                      <w:rFonts w:cstheme="minorHAnsi"/>
                      <w:b/>
                      <w:szCs w:val="20"/>
                    </w:rPr>
                  </w:pPr>
                  <w:r w:rsidRPr="00920905">
                    <w:rPr>
                      <w:rFonts w:cstheme="minorHAnsi"/>
                      <w:b/>
                      <w:szCs w:val="20"/>
                    </w:rPr>
                    <w:t>EUL (Years)</w:t>
                  </w:r>
                </w:p>
              </w:tc>
              <w:tc>
                <w:tcPr>
                  <w:tcW w:w="670" w:type="pct"/>
                  <w:shd w:val="clear" w:color="auto" w:fill="D9D9D9" w:themeFill="background1" w:themeFillShade="D9"/>
                </w:tcPr>
                <w:p w:rsidR="00DD7DBE" w:rsidRPr="00920905" w:rsidRDefault="00DD7DBE" w:rsidP="00DD7DBE">
                  <w:pPr>
                    <w:rPr>
                      <w:rFonts w:cstheme="minorHAnsi"/>
                      <w:b/>
                      <w:szCs w:val="20"/>
                    </w:rPr>
                  </w:pPr>
                  <w:r w:rsidRPr="00920905">
                    <w:rPr>
                      <w:rFonts w:cstheme="minorHAnsi"/>
                      <w:b/>
                      <w:szCs w:val="20"/>
                    </w:rPr>
                    <w:t>RUL (Years)</w:t>
                  </w:r>
                </w:p>
              </w:tc>
            </w:tr>
            <w:tr w:rsidR="00DD7DBE" w:rsidRPr="00500C4E" w:rsidTr="00F021A4">
              <w:trPr>
                <w:trHeight w:val="243"/>
              </w:trPr>
              <w:tc>
                <w:tcPr>
                  <w:tcW w:w="962" w:type="pct"/>
                </w:tcPr>
                <w:p w:rsidR="00DD7DBE" w:rsidRPr="00500C4E" w:rsidRDefault="00DD7DBE" w:rsidP="00DD7DBE">
                  <w:pPr>
                    <w:rPr>
                      <w:color w:val="FF0000"/>
                      <w:szCs w:val="20"/>
                    </w:rPr>
                  </w:pPr>
                  <w:proofErr w:type="spellStart"/>
                  <w:r w:rsidRPr="00ED5C3A">
                    <w:rPr>
                      <w:color w:val="000000"/>
                      <w:szCs w:val="22"/>
                    </w:rPr>
                    <w:t>WtrHt</w:t>
                  </w:r>
                  <w:proofErr w:type="spellEnd"/>
                  <w:r w:rsidRPr="00ED5C3A">
                    <w:rPr>
                      <w:color w:val="000000"/>
                      <w:szCs w:val="22"/>
                    </w:rPr>
                    <w:t>-WH-</w:t>
                  </w:r>
                  <w:proofErr w:type="spellStart"/>
                  <w:r w:rsidRPr="00ED5C3A">
                    <w:rPr>
                      <w:color w:val="000000"/>
                      <w:szCs w:val="22"/>
                    </w:rPr>
                    <w:t>Shrhd</w:t>
                  </w:r>
                  <w:proofErr w:type="spellEnd"/>
                </w:p>
              </w:tc>
              <w:tc>
                <w:tcPr>
                  <w:tcW w:w="1300" w:type="pct"/>
                </w:tcPr>
                <w:p w:rsidR="00DD7DBE" w:rsidRPr="00500C4E" w:rsidRDefault="00DD7DBE" w:rsidP="00DD7DBE">
                  <w:pPr>
                    <w:rPr>
                      <w:color w:val="FF0000"/>
                      <w:szCs w:val="20"/>
                    </w:rPr>
                  </w:pPr>
                  <w:r w:rsidRPr="00ED5C3A">
                    <w:rPr>
                      <w:color w:val="000000"/>
                      <w:szCs w:val="22"/>
                    </w:rPr>
                    <w:t>Low-Flow Showerhead</w:t>
                  </w:r>
                </w:p>
              </w:tc>
              <w:tc>
                <w:tcPr>
                  <w:tcW w:w="557" w:type="pct"/>
                </w:tcPr>
                <w:p w:rsidR="00DD7DBE" w:rsidRPr="00500C4E" w:rsidRDefault="00DD7DBE" w:rsidP="00DD7DBE">
                  <w:pPr>
                    <w:rPr>
                      <w:color w:val="FF0000"/>
                      <w:szCs w:val="20"/>
                    </w:rPr>
                  </w:pPr>
                  <w:r w:rsidRPr="00ED5C3A">
                    <w:rPr>
                      <w:color w:val="000000"/>
                      <w:szCs w:val="22"/>
                    </w:rPr>
                    <w:t>Res</w:t>
                  </w:r>
                </w:p>
              </w:tc>
              <w:tc>
                <w:tcPr>
                  <w:tcW w:w="944" w:type="pct"/>
                </w:tcPr>
                <w:p w:rsidR="00DD7DBE" w:rsidRPr="00500C4E" w:rsidRDefault="00DD7DBE" w:rsidP="00DD7DBE">
                  <w:pPr>
                    <w:rPr>
                      <w:color w:val="FF0000"/>
                      <w:szCs w:val="20"/>
                    </w:rPr>
                  </w:pPr>
                  <w:r w:rsidRPr="00ED5C3A">
                    <w:rPr>
                      <w:color w:val="000000"/>
                      <w:szCs w:val="22"/>
                    </w:rPr>
                    <w:t>SHW</w:t>
                  </w:r>
                </w:p>
              </w:tc>
              <w:tc>
                <w:tcPr>
                  <w:tcW w:w="567" w:type="pct"/>
                </w:tcPr>
                <w:p w:rsidR="00DD7DBE" w:rsidRPr="00500C4E" w:rsidRDefault="00DD7DBE" w:rsidP="00DD7DBE">
                  <w:pPr>
                    <w:rPr>
                      <w:color w:val="FF0000"/>
                      <w:szCs w:val="20"/>
                    </w:rPr>
                  </w:pPr>
                  <w:r>
                    <w:rPr>
                      <w:color w:val="000000"/>
                      <w:szCs w:val="22"/>
                    </w:rPr>
                    <w:t>10</w:t>
                  </w:r>
                </w:p>
              </w:tc>
              <w:tc>
                <w:tcPr>
                  <w:tcW w:w="670" w:type="pct"/>
                </w:tcPr>
                <w:p w:rsidR="00DD7DBE" w:rsidRPr="00500C4E" w:rsidRDefault="00DD7DBE" w:rsidP="00DD7DBE">
                  <w:pPr>
                    <w:rPr>
                      <w:color w:val="FF0000"/>
                      <w:szCs w:val="20"/>
                    </w:rPr>
                  </w:pPr>
                  <w:r>
                    <w:rPr>
                      <w:color w:val="000000"/>
                      <w:szCs w:val="22"/>
                    </w:rPr>
                    <w:t>3.33</w:t>
                  </w:r>
                </w:p>
              </w:tc>
            </w:tr>
          </w:tbl>
          <w:p w:rsidR="00DD7DBE" w:rsidRPr="00D86243" w:rsidRDefault="00DD7DBE" w:rsidP="00DD7DBE">
            <w:pPr>
              <w:tabs>
                <w:tab w:val="right" w:pos="6732"/>
              </w:tabs>
              <w:rPr>
                <w:rFonts w:cs="Arial"/>
                <w:sz w:val="20"/>
                <w:szCs w:val="20"/>
              </w:rPr>
            </w:pPr>
          </w:p>
        </w:tc>
      </w:tr>
      <w:tr w:rsidR="00DD7DBE" w:rsidTr="00AF368D">
        <w:trPr>
          <w:cantSplit/>
          <w:trHeight w:val="458"/>
        </w:trPr>
        <w:tc>
          <w:tcPr>
            <w:tcW w:w="9350" w:type="dxa"/>
            <w:gridSpan w:val="2"/>
            <w:vAlign w:val="center"/>
          </w:tcPr>
          <w:p w:rsidR="00DD7DBE" w:rsidRPr="00241A1F" w:rsidRDefault="00DD7DBE" w:rsidP="00DD7DBE">
            <w:pPr>
              <w:rPr>
                <w:rFonts w:cs="Arial"/>
                <w:sz w:val="20"/>
                <w:szCs w:val="20"/>
              </w:rPr>
            </w:pPr>
            <w:r w:rsidRPr="001D77F7">
              <w:rPr>
                <w:b/>
              </w:rPr>
              <w:t>Section 2. Calculation Methodology</w:t>
            </w:r>
          </w:p>
        </w:tc>
      </w:tr>
      <w:tr w:rsidR="00DD7DBE" w:rsidTr="00F52060">
        <w:trPr>
          <w:cantSplit/>
        </w:trPr>
        <w:tc>
          <w:tcPr>
            <w:tcW w:w="1975" w:type="dxa"/>
            <w:vAlign w:val="center"/>
          </w:tcPr>
          <w:p w:rsidR="00DD7DBE" w:rsidRDefault="00DD7DBE" w:rsidP="00DD7DBE">
            <w:pPr>
              <w:jc w:val="right"/>
            </w:pPr>
            <w:r>
              <w:rPr>
                <w:rFonts w:cs="Arial"/>
                <w:sz w:val="20"/>
                <w:szCs w:val="20"/>
              </w:rPr>
              <w:t>Energy Savings/Peak Demand Reduction – All Measures</w:t>
            </w:r>
          </w:p>
        </w:tc>
        <w:tc>
          <w:tcPr>
            <w:tcW w:w="7375" w:type="dxa"/>
          </w:tcPr>
          <w:p w:rsidR="0050595C" w:rsidRPr="002A7A44" w:rsidRDefault="0050595C" w:rsidP="0050595C">
            <w:pPr>
              <w:rPr>
                <w:rFonts w:cstheme="minorHAnsi"/>
                <w:szCs w:val="22"/>
              </w:rPr>
            </w:pPr>
            <w:r w:rsidRPr="002A7A44">
              <w:rPr>
                <w:rFonts w:cstheme="minorHAnsi"/>
                <w:szCs w:val="22"/>
              </w:rPr>
              <w:t>The 2/22/13 Energy Division Workpaper Disposition for Water Fixtures</w:t>
            </w:r>
            <w:r>
              <w:rPr>
                <w:rFonts w:cstheme="minorHAnsi"/>
                <w:szCs w:val="22"/>
              </w:rPr>
              <w:t xml:space="preserve"> </w:t>
            </w:r>
            <w:r w:rsidRPr="002A7A44">
              <w:rPr>
                <w:rFonts w:cstheme="minorHAnsi"/>
                <w:szCs w:val="22"/>
              </w:rPr>
              <w:t>provided “basis” savings values for:</w:t>
            </w:r>
          </w:p>
          <w:p w:rsidR="0050595C" w:rsidRPr="002A7A44" w:rsidRDefault="0050595C" w:rsidP="0050595C">
            <w:pPr>
              <w:numPr>
                <w:ilvl w:val="0"/>
                <w:numId w:val="25"/>
              </w:numPr>
              <w:rPr>
                <w:rFonts w:cstheme="minorHAnsi"/>
                <w:szCs w:val="22"/>
              </w:rPr>
            </w:pPr>
            <w:r w:rsidRPr="002A7A44">
              <w:rPr>
                <w:rFonts w:cstheme="minorHAnsi"/>
                <w:szCs w:val="22"/>
              </w:rPr>
              <w:t xml:space="preserve">Showerheads 1.5 </w:t>
            </w:r>
            <w:proofErr w:type="spellStart"/>
            <w:r w:rsidRPr="002A7A44">
              <w:rPr>
                <w:rFonts w:cstheme="minorHAnsi"/>
                <w:szCs w:val="22"/>
              </w:rPr>
              <w:t>gpm</w:t>
            </w:r>
            <w:proofErr w:type="spellEnd"/>
            <w:r w:rsidRPr="002A7A44">
              <w:rPr>
                <w:rFonts w:cstheme="minorHAnsi"/>
                <w:szCs w:val="22"/>
              </w:rPr>
              <w:t xml:space="preserve">, 1.6 </w:t>
            </w:r>
            <w:proofErr w:type="spellStart"/>
            <w:r w:rsidRPr="002A7A44">
              <w:rPr>
                <w:rFonts w:cstheme="minorHAnsi"/>
                <w:szCs w:val="22"/>
              </w:rPr>
              <w:t>gpm</w:t>
            </w:r>
            <w:proofErr w:type="spellEnd"/>
            <w:r w:rsidRPr="002A7A44">
              <w:rPr>
                <w:rFonts w:cstheme="minorHAnsi"/>
                <w:szCs w:val="22"/>
              </w:rPr>
              <w:t xml:space="preserve">, and 1.7 </w:t>
            </w:r>
            <w:proofErr w:type="spellStart"/>
            <w:r w:rsidRPr="002A7A44">
              <w:rPr>
                <w:rFonts w:cstheme="minorHAnsi"/>
                <w:szCs w:val="22"/>
              </w:rPr>
              <w:t>gpm</w:t>
            </w:r>
            <w:proofErr w:type="spellEnd"/>
          </w:p>
          <w:p w:rsidR="0050595C" w:rsidRPr="002A7A44" w:rsidRDefault="0050595C" w:rsidP="0050595C">
            <w:pPr>
              <w:numPr>
                <w:ilvl w:val="1"/>
                <w:numId w:val="25"/>
              </w:numPr>
              <w:contextualSpacing/>
              <w:rPr>
                <w:szCs w:val="22"/>
              </w:rPr>
            </w:pPr>
            <w:r w:rsidRPr="002A7A44">
              <w:rPr>
                <w:szCs w:val="22"/>
              </w:rPr>
              <w:t xml:space="preserve">The average base case flow is 2.25 </w:t>
            </w:r>
            <w:proofErr w:type="spellStart"/>
            <w:r w:rsidRPr="002A7A44">
              <w:rPr>
                <w:szCs w:val="22"/>
              </w:rPr>
              <w:t>gpm</w:t>
            </w:r>
            <w:proofErr w:type="spellEnd"/>
            <w:r w:rsidRPr="002A7A44">
              <w:rPr>
                <w:szCs w:val="22"/>
              </w:rPr>
              <w:t>, according to SCG and SDG&amp;E study data.</w:t>
            </w:r>
          </w:p>
          <w:p w:rsidR="0050595C" w:rsidRPr="002A7A44" w:rsidRDefault="0050595C" w:rsidP="0050595C">
            <w:pPr>
              <w:rPr>
                <w:rFonts w:cstheme="minorHAnsi"/>
                <w:szCs w:val="22"/>
              </w:rPr>
            </w:pPr>
          </w:p>
          <w:p w:rsidR="0050595C" w:rsidRPr="002A7A44" w:rsidRDefault="0050595C" w:rsidP="0050595C">
            <w:r w:rsidRPr="002A7A44">
              <w:rPr>
                <w:rFonts w:cstheme="minorHAnsi"/>
                <w:bCs/>
                <w:szCs w:val="22"/>
              </w:rPr>
              <w:t>These basis values were multiplied by climate zone-specific multipliers to determine final savings. The</w:t>
            </w:r>
            <w:r w:rsidRPr="002A7A44">
              <w:rPr>
                <w:rFonts w:cstheme="minorHAnsi"/>
                <w:szCs w:val="22"/>
              </w:rPr>
              <w:t xml:space="preserve"> Single Family, Multi Family, and Mobile Home building types were included.</w:t>
            </w:r>
          </w:p>
          <w:p w:rsidR="00DD7DBE" w:rsidRPr="00555671" w:rsidRDefault="00DD7DBE" w:rsidP="0050595C">
            <w:pPr>
              <w:pStyle w:val="NoSpacing"/>
              <w:rPr>
                <w:rFonts w:cs="Arial"/>
                <w:sz w:val="20"/>
                <w:szCs w:val="20"/>
              </w:rPr>
            </w:pPr>
          </w:p>
        </w:tc>
      </w:tr>
      <w:tr w:rsidR="00DD7DBE" w:rsidTr="00B94F6F">
        <w:trPr>
          <w:cantSplit/>
        </w:trPr>
        <w:tc>
          <w:tcPr>
            <w:tcW w:w="9350" w:type="dxa"/>
            <w:gridSpan w:val="2"/>
            <w:vAlign w:val="center"/>
          </w:tcPr>
          <w:p w:rsidR="00DD7DBE" w:rsidRPr="00476F40" w:rsidRDefault="00DD7DBE" w:rsidP="00DD7DBE">
            <w:pPr>
              <w:tabs>
                <w:tab w:val="right" w:pos="6732"/>
              </w:tabs>
              <w:rPr>
                <w:rFonts w:cs="Arial"/>
                <w:sz w:val="20"/>
                <w:szCs w:val="20"/>
              </w:rPr>
            </w:pPr>
            <w:r w:rsidRPr="001D77F7">
              <w:rPr>
                <w:b/>
              </w:rPr>
              <w:t>Section 3. Load Shapes</w:t>
            </w:r>
          </w:p>
        </w:tc>
      </w:tr>
      <w:tr w:rsidR="00DD7DBE" w:rsidTr="00F52060">
        <w:trPr>
          <w:cantSplit/>
        </w:trPr>
        <w:tc>
          <w:tcPr>
            <w:tcW w:w="1975" w:type="dxa"/>
            <w:vAlign w:val="center"/>
          </w:tcPr>
          <w:p w:rsidR="00DD7DBE" w:rsidRPr="00DD2F3D" w:rsidRDefault="00DD7DBE" w:rsidP="00DD7DBE">
            <w:r>
              <w:lastRenderedPageBreak/>
              <w:t>Load Shape</w:t>
            </w:r>
          </w:p>
        </w:tc>
        <w:tc>
          <w:tcPr>
            <w:tcW w:w="7375" w:type="dxa"/>
          </w:tcPr>
          <w:p w:rsidR="00DD7DBE" w:rsidRPr="00C85CA1" w:rsidRDefault="00DD7DBE" w:rsidP="00DD7DBE">
            <w:pPr>
              <w:rPr>
                <w:rFonts w:cstheme="minorHAnsi"/>
                <w:sz w:val="20"/>
                <w:szCs w:val="20"/>
              </w:rPr>
            </w:pPr>
            <w:r w:rsidRPr="00C85CA1">
              <w:rPr>
                <w:rFonts w:cstheme="minorHAnsi"/>
                <w:sz w:val="20"/>
                <w:szCs w:val="20"/>
              </w:rPr>
              <w:t>The ideal load shape for net benefits estimates would represent the difference between the base case and measure case. The closest load shapes that are applicable to the measures in this work paper are listed in the table below.</w:t>
            </w:r>
          </w:p>
          <w:tbl>
            <w:tblPr>
              <w:tblStyle w:val="TableGrid1"/>
              <w:tblW w:w="5000" w:type="pct"/>
              <w:tblLayout w:type="fixed"/>
              <w:tblLook w:val="01E0" w:firstRow="1" w:lastRow="1" w:firstColumn="1" w:lastColumn="1" w:noHBand="0" w:noVBand="0"/>
            </w:tblPr>
            <w:tblGrid>
              <w:gridCol w:w="2410"/>
              <w:gridCol w:w="2544"/>
              <w:gridCol w:w="2195"/>
            </w:tblGrid>
            <w:tr w:rsidR="0050595C" w:rsidRPr="00500C4E" w:rsidTr="00403DE3">
              <w:tc>
                <w:tcPr>
                  <w:tcW w:w="1686" w:type="pct"/>
                  <w:shd w:val="clear" w:color="auto" w:fill="D9D9D9" w:themeFill="background1" w:themeFillShade="D9"/>
                </w:tcPr>
                <w:p w:rsidR="0050595C" w:rsidRPr="00920905" w:rsidRDefault="0050595C" w:rsidP="0050595C">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rsidR="0050595C" w:rsidRPr="00920905" w:rsidRDefault="0050595C" w:rsidP="0050595C">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rsidR="0050595C" w:rsidRPr="00920905" w:rsidRDefault="0050595C" w:rsidP="0050595C">
                  <w:pPr>
                    <w:rPr>
                      <w:rFonts w:cstheme="minorHAnsi"/>
                      <w:b/>
                      <w:szCs w:val="20"/>
                      <w:highlight w:val="yellow"/>
                    </w:rPr>
                  </w:pPr>
                  <w:r w:rsidRPr="00920905">
                    <w:rPr>
                      <w:rFonts w:cstheme="minorHAnsi"/>
                      <w:b/>
                      <w:szCs w:val="20"/>
                    </w:rPr>
                    <w:t>E3 Alt</w:t>
                  </w:r>
                  <w:r>
                    <w:rPr>
                      <w:rFonts w:cstheme="minorHAnsi"/>
                      <w:b/>
                      <w:szCs w:val="20"/>
                    </w:rPr>
                    <w:t>ernate</w:t>
                  </w:r>
                  <w:r w:rsidRPr="00920905">
                    <w:rPr>
                      <w:rFonts w:cstheme="minorHAnsi"/>
                      <w:b/>
                      <w:szCs w:val="20"/>
                    </w:rPr>
                    <w:t xml:space="preserve"> Building Type</w:t>
                  </w:r>
                </w:p>
              </w:tc>
            </w:tr>
            <w:tr w:rsidR="0050595C" w:rsidRPr="00500C4E" w:rsidTr="00403DE3">
              <w:tc>
                <w:tcPr>
                  <w:tcW w:w="1686" w:type="pct"/>
                </w:tcPr>
                <w:p w:rsidR="0050595C" w:rsidRPr="00920905" w:rsidRDefault="0050595C" w:rsidP="0050595C">
                  <w:pPr>
                    <w:rPr>
                      <w:rFonts w:cstheme="minorHAnsi"/>
                      <w:color w:val="FF0000"/>
                      <w:szCs w:val="20"/>
                    </w:rPr>
                  </w:pPr>
                  <w:r w:rsidRPr="00ED5C3A">
                    <w:rPr>
                      <w:rFonts w:cstheme="minorHAnsi"/>
                      <w:szCs w:val="20"/>
                    </w:rPr>
                    <w:t>Residential Mobile Home - Double-Wide</w:t>
                  </w:r>
                </w:p>
              </w:tc>
              <w:tc>
                <w:tcPr>
                  <w:tcW w:w="1779" w:type="pct"/>
                </w:tcPr>
                <w:p w:rsidR="0050595C" w:rsidRPr="00920905" w:rsidRDefault="0050595C" w:rsidP="0050595C">
                  <w:pPr>
                    <w:rPr>
                      <w:rFonts w:cstheme="minorHAnsi"/>
                      <w:color w:val="FF0000"/>
                      <w:szCs w:val="20"/>
                    </w:rPr>
                  </w:pPr>
                  <w:proofErr w:type="spellStart"/>
                  <w:r w:rsidRPr="00ED5C3A">
                    <w:rPr>
                      <w:rFonts w:cstheme="minorHAnsi"/>
                      <w:szCs w:val="20"/>
                    </w:rPr>
                    <w:t>HeatPump_WtrHt</w:t>
                  </w:r>
                  <w:proofErr w:type="spellEnd"/>
                  <w:r w:rsidRPr="00ED5C3A">
                    <w:rPr>
                      <w:rFonts w:cstheme="minorHAnsi"/>
                      <w:szCs w:val="20"/>
                    </w:rPr>
                    <w:t>-RC</w:t>
                  </w:r>
                </w:p>
              </w:tc>
              <w:tc>
                <w:tcPr>
                  <w:tcW w:w="1535" w:type="pct"/>
                </w:tcPr>
                <w:p w:rsidR="0050595C" w:rsidRPr="00920905" w:rsidRDefault="0050595C" w:rsidP="0050595C">
                  <w:pPr>
                    <w:rPr>
                      <w:rFonts w:cstheme="minorHAnsi"/>
                      <w:color w:val="FF0000"/>
                      <w:szCs w:val="20"/>
                    </w:rPr>
                  </w:pPr>
                  <w:r w:rsidRPr="00ED5C3A">
                    <w:rPr>
                      <w:rFonts w:cstheme="minorHAnsi"/>
                      <w:szCs w:val="20"/>
                    </w:rPr>
                    <w:t>Residential</w:t>
                  </w:r>
                </w:p>
              </w:tc>
            </w:tr>
            <w:tr w:rsidR="0050595C" w:rsidRPr="00500C4E" w:rsidTr="00403DE3">
              <w:tc>
                <w:tcPr>
                  <w:tcW w:w="1686" w:type="pct"/>
                </w:tcPr>
                <w:p w:rsidR="0050595C" w:rsidRPr="00920905" w:rsidRDefault="0050595C" w:rsidP="0050595C">
                  <w:pPr>
                    <w:rPr>
                      <w:rFonts w:cstheme="minorHAnsi"/>
                      <w:color w:val="FF0000"/>
                      <w:szCs w:val="20"/>
                    </w:rPr>
                  </w:pPr>
                  <w:r w:rsidRPr="00ED5C3A">
                    <w:rPr>
                      <w:rFonts w:cstheme="minorHAnsi"/>
                      <w:szCs w:val="20"/>
                    </w:rPr>
                    <w:t>Residential Multi-family</w:t>
                  </w:r>
                </w:p>
              </w:tc>
              <w:tc>
                <w:tcPr>
                  <w:tcW w:w="1779" w:type="pct"/>
                </w:tcPr>
                <w:p w:rsidR="0050595C" w:rsidRPr="00920905" w:rsidRDefault="0050595C" w:rsidP="0050595C">
                  <w:pPr>
                    <w:rPr>
                      <w:rFonts w:cstheme="minorHAnsi"/>
                      <w:color w:val="FF0000"/>
                      <w:szCs w:val="20"/>
                    </w:rPr>
                  </w:pPr>
                  <w:proofErr w:type="spellStart"/>
                  <w:r w:rsidRPr="00ED5C3A">
                    <w:rPr>
                      <w:rFonts w:cstheme="minorHAnsi"/>
                      <w:szCs w:val="20"/>
                    </w:rPr>
                    <w:t>HeatPump_WtrHt</w:t>
                  </w:r>
                  <w:proofErr w:type="spellEnd"/>
                  <w:r w:rsidRPr="00ED5C3A">
                    <w:rPr>
                      <w:rFonts w:cstheme="minorHAnsi"/>
                      <w:szCs w:val="20"/>
                    </w:rPr>
                    <w:t>-RC</w:t>
                  </w:r>
                </w:p>
              </w:tc>
              <w:tc>
                <w:tcPr>
                  <w:tcW w:w="1535" w:type="pct"/>
                </w:tcPr>
                <w:p w:rsidR="0050595C" w:rsidRPr="00920905" w:rsidRDefault="0050595C" w:rsidP="0050595C">
                  <w:pPr>
                    <w:rPr>
                      <w:rFonts w:cstheme="minorHAnsi"/>
                      <w:color w:val="FF0000"/>
                      <w:szCs w:val="20"/>
                    </w:rPr>
                  </w:pPr>
                  <w:r w:rsidRPr="00ED5C3A">
                    <w:rPr>
                      <w:rFonts w:cstheme="minorHAnsi"/>
                      <w:szCs w:val="20"/>
                    </w:rPr>
                    <w:t>Residential</w:t>
                  </w:r>
                </w:p>
              </w:tc>
            </w:tr>
            <w:tr w:rsidR="0050595C" w:rsidRPr="00500C4E" w:rsidTr="00403DE3">
              <w:tc>
                <w:tcPr>
                  <w:tcW w:w="1686" w:type="pct"/>
                </w:tcPr>
                <w:p w:rsidR="0050595C" w:rsidRPr="00920905" w:rsidRDefault="0050595C" w:rsidP="0050595C">
                  <w:pPr>
                    <w:rPr>
                      <w:rFonts w:cstheme="minorHAnsi"/>
                      <w:color w:val="FF0000"/>
                      <w:szCs w:val="20"/>
                    </w:rPr>
                  </w:pPr>
                  <w:r w:rsidRPr="00ED5C3A">
                    <w:rPr>
                      <w:rFonts w:cstheme="minorHAnsi"/>
                      <w:szCs w:val="20"/>
                    </w:rPr>
                    <w:t>Residential Single Family</w:t>
                  </w:r>
                </w:p>
              </w:tc>
              <w:tc>
                <w:tcPr>
                  <w:tcW w:w="1779" w:type="pct"/>
                </w:tcPr>
                <w:p w:rsidR="0050595C" w:rsidRPr="00920905" w:rsidRDefault="0050595C" w:rsidP="0050595C">
                  <w:pPr>
                    <w:rPr>
                      <w:rFonts w:cstheme="minorHAnsi"/>
                      <w:color w:val="FF0000"/>
                      <w:szCs w:val="20"/>
                    </w:rPr>
                  </w:pPr>
                  <w:proofErr w:type="spellStart"/>
                  <w:r w:rsidRPr="00ED5C3A">
                    <w:rPr>
                      <w:rFonts w:cstheme="minorHAnsi"/>
                      <w:szCs w:val="20"/>
                    </w:rPr>
                    <w:t>HeatPump_WtrHt</w:t>
                  </w:r>
                  <w:proofErr w:type="spellEnd"/>
                  <w:r w:rsidRPr="00ED5C3A">
                    <w:rPr>
                      <w:rFonts w:cstheme="minorHAnsi"/>
                      <w:szCs w:val="20"/>
                    </w:rPr>
                    <w:t>-RC</w:t>
                  </w:r>
                </w:p>
              </w:tc>
              <w:tc>
                <w:tcPr>
                  <w:tcW w:w="1535" w:type="pct"/>
                </w:tcPr>
                <w:p w:rsidR="0050595C" w:rsidRPr="00920905" w:rsidRDefault="0050595C" w:rsidP="0050595C">
                  <w:pPr>
                    <w:rPr>
                      <w:rFonts w:cstheme="minorHAnsi"/>
                      <w:color w:val="FF0000"/>
                      <w:szCs w:val="20"/>
                    </w:rPr>
                  </w:pPr>
                  <w:r w:rsidRPr="00ED5C3A">
                    <w:rPr>
                      <w:rFonts w:cstheme="minorHAnsi"/>
                      <w:szCs w:val="20"/>
                    </w:rPr>
                    <w:t>Residential</w:t>
                  </w:r>
                </w:p>
              </w:tc>
            </w:tr>
          </w:tbl>
          <w:p w:rsidR="00E450A0" w:rsidRDefault="00E450A0" w:rsidP="00DD7DBE">
            <w:pPr>
              <w:tabs>
                <w:tab w:val="right" w:pos="6732"/>
              </w:tabs>
              <w:rPr>
                <w:rFonts w:cstheme="minorHAnsi"/>
                <w:bCs/>
                <w:sz w:val="20"/>
              </w:rPr>
            </w:pPr>
          </w:p>
        </w:tc>
      </w:tr>
      <w:tr w:rsidR="00DD7DBE" w:rsidTr="00B94F6F">
        <w:trPr>
          <w:cantSplit/>
        </w:trPr>
        <w:tc>
          <w:tcPr>
            <w:tcW w:w="9350" w:type="dxa"/>
            <w:gridSpan w:val="2"/>
            <w:vAlign w:val="center"/>
          </w:tcPr>
          <w:p w:rsidR="00DD7DBE" w:rsidRDefault="00DD7DBE" w:rsidP="00DD7DBE">
            <w:pPr>
              <w:tabs>
                <w:tab w:val="right" w:pos="6732"/>
              </w:tabs>
              <w:rPr>
                <w:rFonts w:cstheme="minorHAnsi"/>
                <w:bCs/>
                <w:sz w:val="20"/>
              </w:rPr>
            </w:pPr>
            <w:r>
              <w:rPr>
                <w:b/>
              </w:rPr>
              <w:t>Section 4</w:t>
            </w:r>
            <w:r w:rsidRPr="00244805">
              <w:rPr>
                <w:b/>
              </w:rPr>
              <w:t xml:space="preserve">. </w:t>
            </w:r>
            <w:r>
              <w:rPr>
                <w:b/>
              </w:rPr>
              <w:t>Cost</w:t>
            </w:r>
          </w:p>
        </w:tc>
      </w:tr>
      <w:tr w:rsidR="00DD7DBE" w:rsidTr="00B94F6F">
        <w:trPr>
          <w:cantSplit/>
        </w:trPr>
        <w:tc>
          <w:tcPr>
            <w:tcW w:w="9350" w:type="dxa"/>
            <w:gridSpan w:val="2"/>
            <w:vAlign w:val="center"/>
          </w:tcPr>
          <w:p w:rsidR="00DD7DBE" w:rsidRDefault="00DD7DBE" w:rsidP="00DD7DBE">
            <w:pPr>
              <w:tabs>
                <w:tab w:val="right" w:pos="6732"/>
              </w:tabs>
              <w:rPr>
                <w:rFonts w:cstheme="minorHAnsi"/>
                <w:bCs/>
                <w:sz w:val="20"/>
              </w:rPr>
            </w:pPr>
            <w:r>
              <w:rPr>
                <w:b/>
              </w:rPr>
              <w:t>Section 4.1 Base and Measure Costs</w:t>
            </w:r>
          </w:p>
        </w:tc>
      </w:tr>
      <w:tr w:rsidR="00DD7DBE" w:rsidTr="00F52060">
        <w:trPr>
          <w:cantSplit/>
        </w:trPr>
        <w:tc>
          <w:tcPr>
            <w:tcW w:w="1975" w:type="dxa"/>
          </w:tcPr>
          <w:p w:rsidR="00DD7DBE" w:rsidRPr="00D91B6C" w:rsidRDefault="00DD7DBE" w:rsidP="00DD7DBE">
            <w:r w:rsidRPr="00D91B6C">
              <w:t>Base Cost</w:t>
            </w:r>
          </w:p>
        </w:tc>
        <w:tc>
          <w:tcPr>
            <w:tcW w:w="7375" w:type="dxa"/>
          </w:tcPr>
          <w:p w:rsidR="00DD7DBE" w:rsidRPr="00A854EE" w:rsidRDefault="00DD7DBE" w:rsidP="00DD7DBE">
            <w:pPr>
              <w:rPr>
                <w:sz w:val="20"/>
                <w:szCs w:val="20"/>
              </w:rPr>
            </w:pPr>
            <w:r w:rsidRPr="00A854EE">
              <w:rPr>
                <w:sz w:val="20"/>
                <w:szCs w:val="20"/>
              </w:rPr>
              <w:t>The base case is the customer’s existing equipment; therefore, the base case cost is $0.00.</w:t>
            </w:r>
          </w:p>
          <w:p w:rsidR="00DD7DBE" w:rsidRPr="003B7A13" w:rsidRDefault="00DD7DBE" w:rsidP="00DD7DBE">
            <w:pPr>
              <w:rPr>
                <w:highlight w:val="yellow"/>
              </w:rPr>
            </w:pPr>
          </w:p>
        </w:tc>
      </w:tr>
      <w:tr w:rsidR="00DD7DBE" w:rsidTr="00F52060">
        <w:trPr>
          <w:cantSplit/>
        </w:trPr>
        <w:tc>
          <w:tcPr>
            <w:tcW w:w="1975" w:type="dxa"/>
          </w:tcPr>
          <w:p w:rsidR="00DD7DBE" w:rsidRPr="00D91B6C" w:rsidRDefault="00DD7DBE" w:rsidP="00DD7DBE">
            <w:r w:rsidRPr="00D91B6C">
              <w:t xml:space="preserve">Measure Cost </w:t>
            </w:r>
          </w:p>
        </w:tc>
        <w:tc>
          <w:tcPr>
            <w:tcW w:w="7375" w:type="dxa"/>
          </w:tcPr>
          <w:p w:rsidR="00DD7DBE" w:rsidRPr="00C85CA1" w:rsidRDefault="00DD7DBE" w:rsidP="00DD7DBE">
            <w:pPr>
              <w:rPr>
                <w:rFonts w:cstheme="minorHAnsi"/>
                <w:sz w:val="20"/>
                <w:szCs w:val="20"/>
              </w:rPr>
            </w:pPr>
            <w:r w:rsidRPr="00C85CA1">
              <w:rPr>
                <w:rFonts w:cstheme="minorHAnsi"/>
                <w:sz w:val="20"/>
                <w:szCs w:val="20"/>
              </w:rPr>
              <w:t xml:space="preserve">Low flow showerheads have not changed significantly </w:t>
            </w:r>
            <w:r w:rsidRPr="00B7580B">
              <w:rPr>
                <w:rFonts w:cstheme="minorHAnsi"/>
                <w:sz w:val="20"/>
                <w:szCs w:val="20"/>
              </w:rPr>
              <w:t xml:space="preserve">from the cost sources used in the previous SCE workpaper, therefore, the costs were not updated in </w:t>
            </w:r>
            <w:r w:rsidRPr="00B7580B">
              <w:rPr>
                <w:sz w:val="20"/>
                <w:szCs w:val="20"/>
              </w:rPr>
              <w:t>SCE17WP004.0</w:t>
            </w:r>
            <w:r w:rsidRPr="00B7580B">
              <w:rPr>
                <w:rFonts w:cstheme="minorHAnsi"/>
                <w:sz w:val="20"/>
                <w:szCs w:val="20"/>
              </w:rPr>
              <w:t>.</w:t>
            </w:r>
          </w:p>
          <w:p w:rsidR="00DD7DBE" w:rsidRPr="00C85CA1" w:rsidRDefault="00DD7DBE" w:rsidP="00DD7DBE">
            <w:pPr>
              <w:rPr>
                <w:rFonts w:cstheme="minorHAnsi"/>
                <w:sz w:val="20"/>
                <w:szCs w:val="20"/>
              </w:rPr>
            </w:pPr>
          </w:p>
          <w:p w:rsidR="00DD7DBE" w:rsidRPr="00C85CA1" w:rsidRDefault="00DD7DBE" w:rsidP="00DD7DBE">
            <w:pPr>
              <w:rPr>
                <w:sz w:val="20"/>
                <w:szCs w:val="20"/>
              </w:rPr>
            </w:pPr>
            <w:r w:rsidRPr="00C85CA1">
              <w:rPr>
                <w:rFonts w:cstheme="minorHAnsi"/>
                <w:sz w:val="20"/>
                <w:szCs w:val="20"/>
              </w:rPr>
              <w:t xml:space="preserve">For the low flow showerhead measure, the labor rate is based on </w:t>
            </w:r>
            <w:r w:rsidRPr="00C85CA1">
              <w:rPr>
                <w:sz w:val="20"/>
                <w:szCs w:val="20"/>
              </w:rPr>
              <w:t>2010-2012 WO17 Ex Ante Measure Cost Study</w:t>
            </w:r>
            <w:r w:rsidRPr="00C85CA1">
              <w:rPr>
                <w:rStyle w:val="EndnoteReference"/>
                <w:sz w:val="20"/>
                <w:szCs w:val="20"/>
              </w:rPr>
              <w:endnoteReference w:id="1"/>
            </w:r>
            <w:r w:rsidRPr="00C85CA1">
              <w:rPr>
                <w:sz w:val="20"/>
                <w:szCs w:val="20"/>
              </w:rPr>
              <w:t xml:space="preserve"> .</w:t>
            </w:r>
          </w:p>
          <w:p w:rsidR="00DD7DBE" w:rsidRDefault="00DD7DBE" w:rsidP="00DD7DBE">
            <w:pPr>
              <w:rPr>
                <w:sz w:val="20"/>
                <w:szCs w:val="20"/>
              </w:rPr>
            </w:pPr>
          </w:p>
          <w:p w:rsidR="00DD7DBE" w:rsidRPr="00B7580B" w:rsidRDefault="00DD7DBE" w:rsidP="00DD7DBE">
            <w:pPr>
              <w:rPr>
                <w:rFonts w:eastAsiaTheme="minorHAnsi" w:cstheme="minorHAnsi"/>
                <w:sz w:val="20"/>
                <w:szCs w:val="20"/>
              </w:rPr>
            </w:pPr>
            <w:r w:rsidRPr="00B7580B">
              <w:rPr>
                <w:rFonts w:eastAsiaTheme="minorHAnsi" w:cstheme="minorHAnsi"/>
                <w:sz w:val="20"/>
                <w:szCs w:val="20"/>
              </w:rPr>
              <w:t xml:space="preserve">Low </w:t>
            </w:r>
            <w:r>
              <w:rPr>
                <w:rFonts w:eastAsiaTheme="minorHAnsi" w:cstheme="minorHAnsi"/>
                <w:sz w:val="20"/>
                <w:szCs w:val="20"/>
              </w:rPr>
              <w:t>flow showerheads:</w:t>
            </w:r>
          </w:p>
          <w:p w:rsidR="00DD7DBE" w:rsidRPr="00B7580B" w:rsidRDefault="00DD7DBE" w:rsidP="00DD7DBE">
            <w:pPr>
              <w:rPr>
                <w:rFonts w:cstheme="minorHAnsi"/>
                <w:sz w:val="20"/>
                <w:szCs w:val="20"/>
              </w:rPr>
            </w:pPr>
            <w:r w:rsidRPr="00B7580B">
              <w:rPr>
                <w:rFonts w:cstheme="minorHAnsi"/>
                <w:sz w:val="20"/>
                <w:szCs w:val="20"/>
              </w:rPr>
              <w:t xml:space="preserve">The costs per unit is </w:t>
            </w:r>
            <w:r>
              <w:rPr>
                <w:rFonts w:cstheme="minorHAnsi"/>
                <w:sz w:val="20"/>
                <w:szCs w:val="20"/>
              </w:rPr>
              <w:t>$18.50</w:t>
            </w:r>
            <w:r w:rsidRPr="00B7580B">
              <w:rPr>
                <w:rFonts w:cstheme="minorHAnsi"/>
                <w:sz w:val="20"/>
                <w:szCs w:val="20"/>
              </w:rPr>
              <w:t xml:space="preserve"> for mat</w:t>
            </w:r>
            <w:r>
              <w:rPr>
                <w:rFonts w:cstheme="minorHAnsi"/>
                <w:sz w:val="20"/>
                <w:szCs w:val="20"/>
              </w:rPr>
              <w:t>erials and $15.67</w:t>
            </w:r>
            <w:r w:rsidRPr="00B7580B">
              <w:rPr>
                <w:rFonts w:cstheme="minorHAnsi"/>
                <w:sz w:val="20"/>
                <w:szCs w:val="20"/>
              </w:rPr>
              <w:t xml:space="preserve"> for labo</w:t>
            </w:r>
            <w:r>
              <w:rPr>
                <w:rFonts w:cstheme="minorHAnsi"/>
                <w:sz w:val="20"/>
                <w:szCs w:val="20"/>
              </w:rPr>
              <w:t>r for a total cost of $34.17/unit</w:t>
            </w:r>
            <w:r w:rsidRPr="00B7580B">
              <w:rPr>
                <w:rFonts w:cstheme="minorHAnsi"/>
                <w:sz w:val="20"/>
                <w:szCs w:val="20"/>
              </w:rPr>
              <w:t>.</w:t>
            </w:r>
            <w:r w:rsidRPr="00B7580B">
              <w:rPr>
                <w:rFonts w:eastAsia="Calibri" w:cstheme="minorHAnsi"/>
                <w:sz w:val="20"/>
                <w:szCs w:val="20"/>
              </w:rPr>
              <w:t xml:space="preserve"> </w:t>
            </w:r>
          </w:p>
          <w:p w:rsidR="00DD7DBE" w:rsidRPr="003B7A13" w:rsidRDefault="00DD7DBE" w:rsidP="00DD7DBE">
            <w:pPr>
              <w:rPr>
                <w:highlight w:val="yellow"/>
              </w:rPr>
            </w:pPr>
          </w:p>
        </w:tc>
      </w:tr>
    </w:tbl>
    <w:p w:rsidR="001B5D6C" w:rsidRDefault="001B5D6C" w:rsidP="00FE636E">
      <w:pPr>
        <w:spacing w:after="200" w:line="276" w:lineRule="auto"/>
      </w:pPr>
    </w:p>
    <w:p w:rsidR="00C228B0" w:rsidRPr="00FD3D43" w:rsidRDefault="00C228B0" w:rsidP="00567FEF"/>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56F" w:rsidRDefault="005E756F" w:rsidP="00FE520B">
      <w:r>
        <w:separator/>
      </w:r>
    </w:p>
  </w:endnote>
  <w:endnote w:type="continuationSeparator" w:id="0">
    <w:p w:rsidR="005E756F" w:rsidRDefault="005E756F" w:rsidP="00FE520B">
      <w:r>
        <w:continuationSeparator/>
      </w:r>
    </w:p>
  </w:endnote>
  <w:endnote w:id="1">
    <w:p w:rsidR="00DD7DBE" w:rsidRDefault="00DD7DBE" w:rsidP="00B90F97">
      <w:pPr>
        <w:pStyle w:val="EndnoteText"/>
        <w:rPr>
          <w:rFonts w:ascii="Arial" w:hAnsi="Arial"/>
        </w:rPr>
      </w:pPr>
      <w:r>
        <w:rPr>
          <w:rStyle w:val="EndnoteReference"/>
        </w:rPr>
        <w:endnoteRef/>
      </w:r>
      <w:r>
        <w:t xml:space="preserve"> Itron. 2010-2012 WO017 Ex Ante Measure Cost Study Final Report. San Francisco, CA (2014, May 27). Retrieved </w:t>
      </w:r>
      <w:r>
        <w:rPr>
          <w:lang w:val="en-US"/>
        </w:rPr>
        <w:t>11/14/17</w:t>
      </w:r>
      <w:r>
        <w:t xml:space="preserve"> at </w:t>
      </w:r>
      <w:hyperlink r:id="rId1" w:history="1">
        <w:r>
          <w:rPr>
            <w:rStyle w:val="Hyperlink"/>
          </w:rPr>
          <w:t>http://www.energydataweb.com/cpucFiles/pdaDocs/1100/2010-2012%20WO017%20Ex%20Ante%20Measure%20Cost%20Study%20-%20Final%20Report.pdf</w:t>
        </w:r>
      </w:hyperlink>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8AD" w:rsidRDefault="009378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F6F" w:rsidRPr="00241A1F" w:rsidRDefault="00B94F6F" w:rsidP="00241A1F">
    <w:pPr>
      <w:pStyle w:val="Footer"/>
      <w:rPr>
        <w:rFonts w:cstheme="minorHAnsi"/>
        <w:b/>
        <w:szCs w:val="22"/>
      </w:rPr>
    </w:pPr>
    <w:r>
      <w:rPr>
        <w:b/>
      </w:rPr>
      <w:t>Workpaper</w:t>
    </w:r>
    <w:r w:rsidR="00873F4D" w:rsidRPr="00873F4D">
      <w:t xml:space="preserve"> </w:t>
    </w:r>
    <w:r w:rsidR="00873F4D" w:rsidRPr="00873F4D">
      <w:rPr>
        <w:b/>
      </w:rPr>
      <w:t>WPSDGEREWH1061A</w:t>
    </w:r>
    <w:r w:rsidR="00873F4D">
      <w:rPr>
        <w:b/>
      </w:rPr>
      <w:t>, Revision 5</w:t>
    </w:r>
    <w:r>
      <w:rPr>
        <w:b/>
      </w:rPr>
      <w:tab/>
    </w:r>
    <w:r>
      <w:rPr>
        <w:b/>
      </w:rPr>
      <w:tab/>
    </w:r>
    <w:r w:rsidR="00873F4D">
      <w:rPr>
        <w:rFonts w:cstheme="minorHAnsi"/>
        <w:b/>
        <w:szCs w:val="22"/>
      </w:rPr>
      <w:t>November 28</w:t>
    </w:r>
    <w:r>
      <w:rPr>
        <w:rFonts w:cstheme="minorHAnsi"/>
        <w:b/>
        <w:szCs w:val="22"/>
      </w:rPr>
      <w:t>, 2017</w:t>
    </w:r>
  </w:p>
  <w:p w:rsidR="00B94F6F" w:rsidRPr="009500DC" w:rsidRDefault="00B94F6F" w:rsidP="00241A1F">
    <w:pPr>
      <w:pStyle w:val="Footer"/>
      <w:tabs>
        <w:tab w:val="clear" w:pos="4680"/>
        <w:tab w:val="clear" w:pos="9360"/>
        <w:tab w:val="left" w:pos="5274"/>
      </w:tabs>
      <w:rPr>
        <w:rFonts w:cstheme="minorHAnsi"/>
      </w:rPr>
    </w:pPr>
    <w:r>
      <w:rPr>
        <w:b/>
      </w:rPr>
      <w:t>San Diego Gas &amp; Electric</w:t>
    </w:r>
    <w:r>
      <w:rPr>
        <w:b/>
      </w:rPr>
      <w:tab/>
    </w:r>
    <w:r w:rsidRPr="00C7215A">
      <w:rPr>
        <w:b/>
      </w:rPr>
      <w:fldChar w:fldCharType="begin"/>
    </w:r>
    <w:r w:rsidRPr="00C7215A">
      <w:rPr>
        <w:b/>
      </w:rPr>
      <w:instrText xml:space="preserve"> PAGE   \* MERGEFORMAT </w:instrText>
    </w:r>
    <w:r w:rsidRPr="00C7215A">
      <w:rPr>
        <w:b/>
      </w:rPr>
      <w:fldChar w:fldCharType="separate"/>
    </w:r>
    <w:r w:rsidR="00E0657A">
      <w:rPr>
        <w:b/>
        <w:noProof/>
      </w:rPr>
      <w:t>5</w:t>
    </w:r>
    <w:r w:rsidRPr="00C7215A">
      <w:rPr>
        <w:b/>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8AD" w:rsidRDefault="009378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56F" w:rsidRDefault="005E756F" w:rsidP="00FE520B">
      <w:r>
        <w:separator/>
      </w:r>
    </w:p>
  </w:footnote>
  <w:footnote w:type="continuationSeparator" w:id="0">
    <w:p w:rsidR="005E756F" w:rsidRDefault="005E756F" w:rsidP="00FE5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8AD" w:rsidRDefault="009378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8AD" w:rsidRDefault="009378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8AD" w:rsidRDefault="009378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A2171A"/>
    <w:multiLevelType w:val="hybridMultilevel"/>
    <w:tmpl w:val="CC52F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E579B7"/>
    <w:multiLevelType w:val="hybridMultilevel"/>
    <w:tmpl w:val="1C6838F8"/>
    <w:lvl w:ilvl="0" w:tplc="1500155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554291"/>
    <w:multiLevelType w:val="hybridMultilevel"/>
    <w:tmpl w:val="181897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034A65"/>
    <w:multiLevelType w:val="hybridMultilevel"/>
    <w:tmpl w:val="9F10B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4"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692E4B"/>
    <w:multiLevelType w:val="hybridMultilevel"/>
    <w:tmpl w:val="DA28C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64252B"/>
    <w:multiLevelType w:val="hybridMultilevel"/>
    <w:tmpl w:val="03F4E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EA41AD"/>
    <w:multiLevelType w:val="hybridMultilevel"/>
    <w:tmpl w:val="79D8F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9"/>
  </w:num>
  <w:num w:numId="5">
    <w:abstractNumId w:val="16"/>
  </w:num>
  <w:num w:numId="6">
    <w:abstractNumId w:val="5"/>
  </w:num>
  <w:num w:numId="7">
    <w:abstractNumId w:val="23"/>
  </w:num>
  <w:num w:numId="8">
    <w:abstractNumId w:val="19"/>
  </w:num>
  <w:num w:numId="9">
    <w:abstractNumId w:val="6"/>
  </w:num>
  <w:num w:numId="10">
    <w:abstractNumId w:val="21"/>
  </w:num>
  <w:num w:numId="11">
    <w:abstractNumId w:val="22"/>
  </w:num>
  <w:num w:numId="12">
    <w:abstractNumId w:val="14"/>
  </w:num>
  <w:num w:numId="13">
    <w:abstractNumId w:val="24"/>
  </w:num>
  <w:num w:numId="14">
    <w:abstractNumId w:val="13"/>
  </w:num>
  <w:num w:numId="15">
    <w:abstractNumId w:val="15"/>
  </w:num>
  <w:num w:numId="16">
    <w:abstractNumId w:val="18"/>
  </w:num>
  <w:num w:numId="17">
    <w:abstractNumId w:val="12"/>
  </w:num>
  <w:num w:numId="18">
    <w:abstractNumId w:val="0"/>
  </w:num>
  <w:num w:numId="19">
    <w:abstractNumId w:val="7"/>
  </w:num>
  <w:num w:numId="20">
    <w:abstractNumId w:val="17"/>
    <w:lvlOverride w:ilvl="0"/>
    <w:lvlOverride w:ilvl="1">
      <w:startOverride w:val="1"/>
    </w:lvlOverride>
    <w:lvlOverride w:ilvl="2"/>
    <w:lvlOverride w:ilvl="3"/>
    <w:lvlOverride w:ilvl="4"/>
    <w:lvlOverride w:ilvl="5"/>
    <w:lvlOverride w:ilvl="6"/>
    <w:lvlOverride w:ilvl="7"/>
    <w:lvlOverride w:ilvl="8"/>
  </w:num>
  <w:num w:numId="21">
    <w:abstractNumId w:val="8"/>
  </w:num>
  <w:num w:numId="22">
    <w:abstractNumId w:val="20"/>
  </w:num>
  <w:num w:numId="23">
    <w:abstractNumId w:val="10"/>
  </w:num>
  <w:num w:numId="24">
    <w:abstractNumId w:val="1"/>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4D4E"/>
    <w:rsid w:val="0000540F"/>
    <w:rsid w:val="00023AFF"/>
    <w:rsid w:val="00023C32"/>
    <w:rsid w:val="00031221"/>
    <w:rsid w:val="00031BA0"/>
    <w:rsid w:val="00036A2C"/>
    <w:rsid w:val="00051762"/>
    <w:rsid w:val="00052743"/>
    <w:rsid w:val="00052CE4"/>
    <w:rsid w:val="000562B9"/>
    <w:rsid w:val="000601B1"/>
    <w:rsid w:val="00067315"/>
    <w:rsid w:val="00067AF1"/>
    <w:rsid w:val="000719BF"/>
    <w:rsid w:val="000830B4"/>
    <w:rsid w:val="000A2B83"/>
    <w:rsid w:val="000A3A47"/>
    <w:rsid w:val="000B6542"/>
    <w:rsid w:val="000C13AE"/>
    <w:rsid w:val="000C441A"/>
    <w:rsid w:val="000D243C"/>
    <w:rsid w:val="000E19CA"/>
    <w:rsid w:val="000E2CA6"/>
    <w:rsid w:val="000E65D6"/>
    <w:rsid w:val="000F6BA3"/>
    <w:rsid w:val="000F72EF"/>
    <w:rsid w:val="001039B0"/>
    <w:rsid w:val="001046CB"/>
    <w:rsid w:val="00121B4E"/>
    <w:rsid w:val="0012271D"/>
    <w:rsid w:val="00131C78"/>
    <w:rsid w:val="00143843"/>
    <w:rsid w:val="001505DA"/>
    <w:rsid w:val="001519FD"/>
    <w:rsid w:val="0016189C"/>
    <w:rsid w:val="001752E5"/>
    <w:rsid w:val="00183A2F"/>
    <w:rsid w:val="00194466"/>
    <w:rsid w:val="001979FF"/>
    <w:rsid w:val="001A11C1"/>
    <w:rsid w:val="001A3FCD"/>
    <w:rsid w:val="001A4875"/>
    <w:rsid w:val="001B1C8A"/>
    <w:rsid w:val="001B5D6C"/>
    <w:rsid w:val="001C3663"/>
    <w:rsid w:val="001D0AB9"/>
    <w:rsid w:val="001D57D7"/>
    <w:rsid w:val="001D6A64"/>
    <w:rsid w:val="001F64F8"/>
    <w:rsid w:val="00200310"/>
    <w:rsid w:val="00201A3F"/>
    <w:rsid w:val="00215828"/>
    <w:rsid w:val="00231DE1"/>
    <w:rsid w:val="00235AFB"/>
    <w:rsid w:val="00241A1F"/>
    <w:rsid w:val="00244447"/>
    <w:rsid w:val="00244805"/>
    <w:rsid w:val="002805E5"/>
    <w:rsid w:val="00291B2B"/>
    <w:rsid w:val="002C1030"/>
    <w:rsid w:val="002C15E6"/>
    <w:rsid w:val="002D0BD6"/>
    <w:rsid w:val="002D7B3E"/>
    <w:rsid w:val="002E0948"/>
    <w:rsid w:val="002E24BE"/>
    <w:rsid w:val="002F24CE"/>
    <w:rsid w:val="00303D48"/>
    <w:rsid w:val="00323C28"/>
    <w:rsid w:val="0032761E"/>
    <w:rsid w:val="0034557D"/>
    <w:rsid w:val="00360CFA"/>
    <w:rsid w:val="00373EC5"/>
    <w:rsid w:val="003A0D2B"/>
    <w:rsid w:val="003A4277"/>
    <w:rsid w:val="003A7B4E"/>
    <w:rsid w:val="003B5806"/>
    <w:rsid w:val="003B5DCF"/>
    <w:rsid w:val="003B6A2A"/>
    <w:rsid w:val="003B7A13"/>
    <w:rsid w:val="003C2EE4"/>
    <w:rsid w:val="003D05B0"/>
    <w:rsid w:val="003D1C21"/>
    <w:rsid w:val="003D5B0F"/>
    <w:rsid w:val="003E035B"/>
    <w:rsid w:val="003E0DC8"/>
    <w:rsid w:val="003E122A"/>
    <w:rsid w:val="003E6E57"/>
    <w:rsid w:val="003E6FA5"/>
    <w:rsid w:val="003F1F0D"/>
    <w:rsid w:val="00402B3D"/>
    <w:rsid w:val="0040369C"/>
    <w:rsid w:val="00404A43"/>
    <w:rsid w:val="00413EF4"/>
    <w:rsid w:val="00431763"/>
    <w:rsid w:val="004402EE"/>
    <w:rsid w:val="004452CE"/>
    <w:rsid w:val="0044686E"/>
    <w:rsid w:val="00446BE5"/>
    <w:rsid w:val="004519B4"/>
    <w:rsid w:val="00467DB3"/>
    <w:rsid w:val="004748BE"/>
    <w:rsid w:val="00486A75"/>
    <w:rsid w:val="00492365"/>
    <w:rsid w:val="004A6215"/>
    <w:rsid w:val="004D0326"/>
    <w:rsid w:val="004D5D19"/>
    <w:rsid w:val="004E13B2"/>
    <w:rsid w:val="005019B4"/>
    <w:rsid w:val="0050595C"/>
    <w:rsid w:val="00513723"/>
    <w:rsid w:val="005248E2"/>
    <w:rsid w:val="005428E1"/>
    <w:rsid w:val="00543687"/>
    <w:rsid w:val="00555671"/>
    <w:rsid w:val="005613FC"/>
    <w:rsid w:val="00567FEF"/>
    <w:rsid w:val="00580664"/>
    <w:rsid w:val="0059117D"/>
    <w:rsid w:val="00591D85"/>
    <w:rsid w:val="0059663B"/>
    <w:rsid w:val="005B5614"/>
    <w:rsid w:val="005C1518"/>
    <w:rsid w:val="005D5D5A"/>
    <w:rsid w:val="005E18A1"/>
    <w:rsid w:val="005E4C0C"/>
    <w:rsid w:val="005E756F"/>
    <w:rsid w:val="00623004"/>
    <w:rsid w:val="00636490"/>
    <w:rsid w:val="006374F1"/>
    <w:rsid w:val="00650C31"/>
    <w:rsid w:val="00650F0D"/>
    <w:rsid w:val="00653C4B"/>
    <w:rsid w:val="00666CDA"/>
    <w:rsid w:val="00681F9F"/>
    <w:rsid w:val="00682E19"/>
    <w:rsid w:val="00684ABA"/>
    <w:rsid w:val="00686789"/>
    <w:rsid w:val="006875B3"/>
    <w:rsid w:val="00695478"/>
    <w:rsid w:val="006A1F36"/>
    <w:rsid w:val="006A2396"/>
    <w:rsid w:val="006A3E63"/>
    <w:rsid w:val="006B0D5C"/>
    <w:rsid w:val="006D03F9"/>
    <w:rsid w:val="006D0515"/>
    <w:rsid w:val="006D2B70"/>
    <w:rsid w:val="00707736"/>
    <w:rsid w:val="00711B58"/>
    <w:rsid w:val="007176CD"/>
    <w:rsid w:val="00722C9C"/>
    <w:rsid w:val="00727839"/>
    <w:rsid w:val="00735E1F"/>
    <w:rsid w:val="00752529"/>
    <w:rsid w:val="00762D81"/>
    <w:rsid w:val="00764A26"/>
    <w:rsid w:val="00785AC8"/>
    <w:rsid w:val="00786E32"/>
    <w:rsid w:val="00787D7C"/>
    <w:rsid w:val="00792928"/>
    <w:rsid w:val="00797B54"/>
    <w:rsid w:val="007B18FE"/>
    <w:rsid w:val="007D1A21"/>
    <w:rsid w:val="007D1F1E"/>
    <w:rsid w:val="007D3A21"/>
    <w:rsid w:val="007D4F8E"/>
    <w:rsid w:val="007D5DDC"/>
    <w:rsid w:val="007D6FF1"/>
    <w:rsid w:val="007E7E00"/>
    <w:rsid w:val="00804C1C"/>
    <w:rsid w:val="008137B0"/>
    <w:rsid w:val="0081521B"/>
    <w:rsid w:val="00856FA4"/>
    <w:rsid w:val="00862113"/>
    <w:rsid w:val="008724D6"/>
    <w:rsid w:val="00873F4D"/>
    <w:rsid w:val="008775D7"/>
    <w:rsid w:val="00884B9C"/>
    <w:rsid w:val="00895D80"/>
    <w:rsid w:val="008A1557"/>
    <w:rsid w:val="008A1D1C"/>
    <w:rsid w:val="008A4224"/>
    <w:rsid w:val="008B5184"/>
    <w:rsid w:val="008C01F7"/>
    <w:rsid w:val="008C2C8A"/>
    <w:rsid w:val="008D0B3C"/>
    <w:rsid w:val="008E0850"/>
    <w:rsid w:val="008E5CD5"/>
    <w:rsid w:val="0090016E"/>
    <w:rsid w:val="00910D54"/>
    <w:rsid w:val="00925509"/>
    <w:rsid w:val="00925EE5"/>
    <w:rsid w:val="0093657B"/>
    <w:rsid w:val="009374BC"/>
    <w:rsid w:val="009378AD"/>
    <w:rsid w:val="0094267E"/>
    <w:rsid w:val="00950249"/>
    <w:rsid w:val="00957C01"/>
    <w:rsid w:val="009618BA"/>
    <w:rsid w:val="00984534"/>
    <w:rsid w:val="00985CB7"/>
    <w:rsid w:val="00986A83"/>
    <w:rsid w:val="009C3F2D"/>
    <w:rsid w:val="009C6AE8"/>
    <w:rsid w:val="009E1662"/>
    <w:rsid w:val="009E2BC3"/>
    <w:rsid w:val="009F3770"/>
    <w:rsid w:val="00A051D9"/>
    <w:rsid w:val="00A21710"/>
    <w:rsid w:val="00A256A5"/>
    <w:rsid w:val="00A3401B"/>
    <w:rsid w:val="00A578F7"/>
    <w:rsid w:val="00A61271"/>
    <w:rsid w:val="00A75EDC"/>
    <w:rsid w:val="00A80861"/>
    <w:rsid w:val="00A854EE"/>
    <w:rsid w:val="00A86013"/>
    <w:rsid w:val="00A90F14"/>
    <w:rsid w:val="00A9441E"/>
    <w:rsid w:val="00A96751"/>
    <w:rsid w:val="00AA43C4"/>
    <w:rsid w:val="00AB5449"/>
    <w:rsid w:val="00AD034F"/>
    <w:rsid w:val="00AD74B2"/>
    <w:rsid w:val="00AE4353"/>
    <w:rsid w:val="00AF368D"/>
    <w:rsid w:val="00B00846"/>
    <w:rsid w:val="00B079DA"/>
    <w:rsid w:val="00B16652"/>
    <w:rsid w:val="00B26A01"/>
    <w:rsid w:val="00B26A30"/>
    <w:rsid w:val="00B468C2"/>
    <w:rsid w:val="00B471CC"/>
    <w:rsid w:val="00B47B58"/>
    <w:rsid w:val="00B521D4"/>
    <w:rsid w:val="00B57F32"/>
    <w:rsid w:val="00B61FCD"/>
    <w:rsid w:val="00B75260"/>
    <w:rsid w:val="00B7580B"/>
    <w:rsid w:val="00B7668F"/>
    <w:rsid w:val="00B90F97"/>
    <w:rsid w:val="00B9234D"/>
    <w:rsid w:val="00B94F6F"/>
    <w:rsid w:val="00B9551F"/>
    <w:rsid w:val="00BA1B6B"/>
    <w:rsid w:val="00BB2D80"/>
    <w:rsid w:val="00BC237D"/>
    <w:rsid w:val="00BC6454"/>
    <w:rsid w:val="00BD4AFD"/>
    <w:rsid w:val="00BD5433"/>
    <w:rsid w:val="00C048F4"/>
    <w:rsid w:val="00C05E32"/>
    <w:rsid w:val="00C06B9E"/>
    <w:rsid w:val="00C12F3B"/>
    <w:rsid w:val="00C131CB"/>
    <w:rsid w:val="00C14DCC"/>
    <w:rsid w:val="00C15F66"/>
    <w:rsid w:val="00C228B0"/>
    <w:rsid w:val="00C23CAB"/>
    <w:rsid w:val="00C414A6"/>
    <w:rsid w:val="00C44E5A"/>
    <w:rsid w:val="00C462C1"/>
    <w:rsid w:val="00C50122"/>
    <w:rsid w:val="00C52867"/>
    <w:rsid w:val="00C54AC6"/>
    <w:rsid w:val="00C5648F"/>
    <w:rsid w:val="00C6110B"/>
    <w:rsid w:val="00C62A00"/>
    <w:rsid w:val="00C64A59"/>
    <w:rsid w:val="00C7215A"/>
    <w:rsid w:val="00C75814"/>
    <w:rsid w:val="00C85CA1"/>
    <w:rsid w:val="00CA1C3F"/>
    <w:rsid w:val="00CA35A2"/>
    <w:rsid w:val="00CA48A0"/>
    <w:rsid w:val="00CB10BC"/>
    <w:rsid w:val="00CC0FFE"/>
    <w:rsid w:val="00CD0996"/>
    <w:rsid w:val="00CD0F98"/>
    <w:rsid w:val="00CF295D"/>
    <w:rsid w:val="00CF2ABA"/>
    <w:rsid w:val="00D02F02"/>
    <w:rsid w:val="00D204BF"/>
    <w:rsid w:val="00D4142C"/>
    <w:rsid w:val="00D60240"/>
    <w:rsid w:val="00D645DB"/>
    <w:rsid w:val="00D73600"/>
    <w:rsid w:val="00D73723"/>
    <w:rsid w:val="00DA4D9F"/>
    <w:rsid w:val="00DA5D17"/>
    <w:rsid w:val="00DB544A"/>
    <w:rsid w:val="00DB71F1"/>
    <w:rsid w:val="00DC42DE"/>
    <w:rsid w:val="00DC7243"/>
    <w:rsid w:val="00DD2F3D"/>
    <w:rsid w:val="00DD7DBE"/>
    <w:rsid w:val="00DE1C5D"/>
    <w:rsid w:val="00DE364E"/>
    <w:rsid w:val="00E048EA"/>
    <w:rsid w:val="00E05871"/>
    <w:rsid w:val="00E05B9C"/>
    <w:rsid w:val="00E0657A"/>
    <w:rsid w:val="00E159C8"/>
    <w:rsid w:val="00E165FC"/>
    <w:rsid w:val="00E33C12"/>
    <w:rsid w:val="00E372B8"/>
    <w:rsid w:val="00E408A9"/>
    <w:rsid w:val="00E450A0"/>
    <w:rsid w:val="00E455B7"/>
    <w:rsid w:val="00E56CE7"/>
    <w:rsid w:val="00E6385A"/>
    <w:rsid w:val="00E65DD7"/>
    <w:rsid w:val="00E6631C"/>
    <w:rsid w:val="00E733C7"/>
    <w:rsid w:val="00E76853"/>
    <w:rsid w:val="00E84938"/>
    <w:rsid w:val="00E859F0"/>
    <w:rsid w:val="00EB2DBB"/>
    <w:rsid w:val="00EC34A0"/>
    <w:rsid w:val="00EC38B0"/>
    <w:rsid w:val="00EC550F"/>
    <w:rsid w:val="00ED3B34"/>
    <w:rsid w:val="00ED65C0"/>
    <w:rsid w:val="00EE38DA"/>
    <w:rsid w:val="00EE5019"/>
    <w:rsid w:val="00EE6CFE"/>
    <w:rsid w:val="00F021A4"/>
    <w:rsid w:val="00F117C6"/>
    <w:rsid w:val="00F14A21"/>
    <w:rsid w:val="00F21F76"/>
    <w:rsid w:val="00F22251"/>
    <w:rsid w:val="00F3167F"/>
    <w:rsid w:val="00F4328B"/>
    <w:rsid w:val="00F52060"/>
    <w:rsid w:val="00F77C08"/>
    <w:rsid w:val="00F855DD"/>
    <w:rsid w:val="00F915C5"/>
    <w:rsid w:val="00FA3359"/>
    <w:rsid w:val="00FA4A58"/>
    <w:rsid w:val="00FB4B16"/>
    <w:rsid w:val="00FB6C42"/>
    <w:rsid w:val="00FC1793"/>
    <w:rsid w:val="00FC7066"/>
    <w:rsid w:val="00FD0565"/>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45DB"/>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7E7E00"/>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7E7E00"/>
    <w:rPr>
      <w:rFonts w:ascii="Times New Roman" w:eastAsia="Times New Roman" w:hAnsi="Times New Roman" w:cs="Times New Roman"/>
      <w:sz w:val="20"/>
      <w:szCs w:val="20"/>
      <w:lang w:val="x-none" w:eastAsia="x-none"/>
    </w:rPr>
  </w:style>
  <w:style w:type="character" w:styleId="EndnoteReference">
    <w:name w:val="endnote reference"/>
    <w:semiHidden/>
    <w:rsid w:val="007E7E00"/>
    <w:rPr>
      <w:vertAlign w:val="superscript"/>
    </w:rPr>
  </w:style>
  <w:style w:type="table" w:styleId="TableContemporary">
    <w:name w:val="Table Contemporary"/>
    <w:aliases w:val="WP Table"/>
    <w:basedOn w:val="TableNormal"/>
    <w:unhideWhenUsed/>
    <w:rsid w:val="000B6542"/>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Spacing">
    <w:name w:val="No Spacing"/>
    <w:uiPriority w:val="1"/>
    <w:qFormat/>
    <w:rsid w:val="00D4142C"/>
    <w:pPr>
      <w:spacing w:after="0" w:line="240" w:lineRule="auto"/>
    </w:pPr>
  </w:style>
  <w:style w:type="character" w:styleId="FollowedHyperlink">
    <w:name w:val="FollowedHyperlink"/>
    <w:basedOn w:val="DefaultParagraphFont"/>
    <w:uiPriority w:val="99"/>
    <w:semiHidden/>
    <w:unhideWhenUsed/>
    <w:rsid w:val="00B90F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3429">
      <w:bodyDiv w:val="1"/>
      <w:marLeft w:val="0"/>
      <w:marRight w:val="0"/>
      <w:marTop w:val="0"/>
      <w:marBottom w:val="0"/>
      <w:divBdr>
        <w:top w:val="none" w:sz="0" w:space="0" w:color="auto"/>
        <w:left w:val="none" w:sz="0" w:space="0" w:color="auto"/>
        <w:bottom w:val="none" w:sz="0" w:space="0" w:color="auto"/>
        <w:right w:val="none" w:sz="0" w:space="0" w:color="auto"/>
      </w:divBdr>
    </w:div>
    <w:div w:id="29117222">
      <w:bodyDiv w:val="1"/>
      <w:marLeft w:val="0"/>
      <w:marRight w:val="0"/>
      <w:marTop w:val="0"/>
      <w:marBottom w:val="0"/>
      <w:divBdr>
        <w:top w:val="none" w:sz="0" w:space="0" w:color="auto"/>
        <w:left w:val="none" w:sz="0" w:space="0" w:color="auto"/>
        <w:bottom w:val="none" w:sz="0" w:space="0" w:color="auto"/>
        <w:right w:val="none" w:sz="0" w:space="0" w:color="auto"/>
      </w:divBdr>
    </w:div>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817380402">
      <w:bodyDiv w:val="1"/>
      <w:marLeft w:val="0"/>
      <w:marRight w:val="0"/>
      <w:marTop w:val="0"/>
      <w:marBottom w:val="0"/>
      <w:divBdr>
        <w:top w:val="none" w:sz="0" w:space="0" w:color="auto"/>
        <w:left w:val="none" w:sz="0" w:space="0" w:color="auto"/>
        <w:bottom w:val="none" w:sz="0" w:space="0" w:color="auto"/>
        <w:right w:val="none" w:sz="0" w:space="0" w:color="auto"/>
      </w:divBdr>
    </w:div>
    <w:div w:id="963729202">
      <w:bodyDiv w:val="1"/>
      <w:marLeft w:val="0"/>
      <w:marRight w:val="0"/>
      <w:marTop w:val="0"/>
      <w:marBottom w:val="0"/>
      <w:divBdr>
        <w:top w:val="none" w:sz="0" w:space="0" w:color="auto"/>
        <w:left w:val="none" w:sz="0" w:space="0" w:color="auto"/>
        <w:bottom w:val="none" w:sz="0" w:space="0" w:color="auto"/>
        <w:right w:val="none" w:sz="0" w:space="0" w:color="auto"/>
      </w:divBdr>
    </w:div>
    <w:div w:id="1220282750">
      <w:bodyDiv w:val="1"/>
      <w:marLeft w:val="0"/>
      <w:marRight w:val="0"/>
      <w:marTop w:val="0"/>
      <w:marBottom w:val="0"/>
      <w:divBdr>
        <w:top w:val="none" w:sz="0" w:space="0" w:color="auto"/>
        <w:left w:val="none" w:sz="0" w:space="0" w:color="auto"/>
        <w:bottom w:val="none" w:sz="0" w:space="0" w:color="auto"/>
        <w:right w:val="none" w:sz="0" w:space="0" w:color="auto"/>
      </w:divBdr>
    </w:div>
    <w:div w:id="1366826527">
      <w:bodyDiv w:val="1"/>
      <w:marLeft w:val="0"/>
      <w:marRight w:val="0"/>
      <w:marTop w:val="0"/>
      <w:marBottom w:val="0"/>
      <w:divBdr>
        <w:top w:val="none" w:sz="0" w:space="0" w:color="auto"/>
        <w:left w:val="none" w:sz="0" w:space="0" w:color="auto"/>
        <w:bottom w:val="none" w:sz="0" w:space="0" w:color="auto"/>
        <w:right w:val="none" w:sz="0" w:space="0" w:color="auto"/>
      </w:divBdr>
    </w:div>
    <w:div w:id="1383090212">
      <w:bodyDiv w:val="1"/>
      <w:marLeft w:val="0"/>
      <w:marRight w:val="0"/>
      <w:marTop w:val="0"/>
      <w:marBottom w:val="0"/>
      <w:divBdr>
        <w:top w:val="none" w:sz="0" w:space="0" w:color="auto"/>
        <w:left w:val="none" w:sz="0" w:space="0" w:color="auto"/>
        <w:bottom w:val="none" w:sz="0" w:space="0" w:color="auto"/>
        <w:right w:val="none" w:sz="0" w:space="0" w:color="auto"/>
      </w:divBdr>
    </w:div>
    <w:div w:id="1660958125">
      <w:bodyDiv w:val="1"/>
      <w:marLeft w:val="0"/>
      <w:marRight w:val="0"/>
      <w:marTop w:val="0"/>
      <w:marBottom w:val="0"/>
      <w:divBdr>
        <w:top w:val="none" w:sz="0" w:space="0" w:color="auto"/>
        <w:left w:val="none" w:sz="0" w:space="0" w:color="auto"/>
        <w:bottom w:val="none" w:sz="0" w:space="0" w:color="auto"/>
        <w:right w:val="none" w:sz="0" w:space="0" w:color="auto"/>
      </w:divBdr>
    </w:div>
    <w:div w:id="1692802456">
      <w:bodyDiv w:val="1"/>
      <w:marLeft w:val="0"/>
      <w:marRight w:val="0"/>
      <w:marTop w:val="0"/>
      <w:marBottom w:val="0"/>
      <w:divBdr>
        <w:top w:val="none" w:sz="0" w:space="0" w:color="auto"/>
        <w:left w:val="none" w:sz="0" w:space="0" w:color="auto"/>
        <w:bottom w:val="none" w:sz="0" w:space="0" w:color="auto"/>
        <w:right w:val="none" w:sz="0" w:space="0" w:color="auto"/>
      </w:divBdr>
    </w:div>
    <w:div w:id="1858302074">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tmp"/><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tmp"/><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endnotes.xml.rels><?xml version="1.0" encoding="UTF-8" standalone="yes"?>
<Relationships xmlns="http://schemas.openxmlformats.org/package/2006/relationships"><Relationship Id="rId1" Type="http://schemas.openxmlformats.org/officeDocument/2006/relationships/hyperlink" Target="http://www.energydataweb.com/cpucFiles/pdaDocs/1100/2010-2012%20WO017%20Ex%20Ante%20Measure%20Cost%20Study%20-%20Final%20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A945B8-F5B4-4CED-B3DB-E151AC893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741</Words>
  <Characters>4226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2017-12-18T18:34:00Z</dcterms:created>
  <dcterms:modified xsi:type="dcterms:W3CDTF">2017-12-18T18:34:00Z</dcterms:modified>
</cp:coreProperties>
</file>